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中国共产党天津市北辰区纪律检查委员会2023年度部门决算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维护党的章程和其他党内法规，检查党的路线、方针、政策和决议执行情况，协助党的委员会加强党风建设和组织协调反腐败工作。</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中国共产党天津市北辰区纪律检查委员会内设13个职能处室；下辖0个预算单位。纳入中国共产党天津市北辰区纪律检查委员会2023年度部门决算编制范围的单位包括：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1.中国共产党天津市北辰区纪律检查委员会本级</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楷体" w:cs="Times New Roman"/>
          <w:kern w:val="0"/>
          <w:sz w:val="24"/>
          <w:szCs w:val="24"/>
          <w:highlight w:val="none"/>
          <w:lang w:val="en-US" w:eastAsia="zh-CN"/>
        </w:rPr>
        <w:t xml:space="preserve">     </w:t>
      </w:r>
      <w:r>
        <w:rPr>
          <w:rFonts w:hint="eastAsia" w:ascii="Times New Roman" w:hAnsi="Times New Roman" w:eastAsia="黑体" w:cs="黑体"/>
          <w:b/>
          <w:bCs/>
          <w:kern w:val="0"/>
          <w:sz w:val="30"/>
          <w:szCs w:val="30"/>
          <w:highlight w:val="none"/>
        </w:rPr>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1.中国共产党天津市北辰区纪律检查委员会2023年度政府性基金预算财政拨款收入支出决算表为空表。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2.中国共产党天津市北辰区纪律检查委员会2023年度国有资本经营预算财政拨款收入支出决算表为空表。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3.中国共产党天津市北辰区纪律检查委员会2023年度财政拨款“三公”经费支出决算表为空表。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中国共产党天津市北辰区纪律检查委员会2023年度收入、支出决算总计</w:t>
      </w:r>
      <w:r>
        <w:rPr>
          <w:rFonts w:hint="eastAsia" w:ascii="Times New Roman" w:hAnsi="Times New Roman" w:eastAsia="仿宋_GB2312" w:cs="仿宋_GB2312"/>
          <w:sz w:val="30"/>
          <w:szCs w:val="30"/>
          <w:highlight w:val="none"/>
          <w:lang w:eastAsia="zh-CN"/>
        </w:rPr>
        <w:t>40,045,292.21元，与2022年度相比，收、支总计各增加1,329,174.08元，增长3.43%，</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：人员工资增加。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中国共产党天津市北辰区纪律检查委员会</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40,005,892.10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增加1,359,517.62</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人员工资增加。</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40,005,892.10</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100.0</w:t>
      </w:r>
      <w:r>
        <w:rPr>
          <w:rFonts w:hint="eastAsia" w:ascii="Times New Roman" w:hAnsi="Times New Roman" w:eastAsia="宋体" w:cs="Times New Roman"/>
          <w:sz w:val="30"/>
          <w:szCs w:val="30"/>
          <w:highlight w:val="none"/>
          <w:lang w:eastAsia="zh-CN"/>
        </w:rPr>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政府性基金预算财政拨款收入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国有资本经营预算财政拨款收入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财政专户管理资金收入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事业单位经营收入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上级补助收入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附属单位上缴收入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r>
        <w:rPr>
          <w:rFonts w:hint="eastAsia" w:ascii="Times New Roman" w:hAnsi="Times New Roman" w:eastAsia="仿宋_GB2312" w:cs="仿宋_GB2312"/>
          <w:sz w:val="30"/>
          <w:szCs w:val="30"/>
          <w:highlight w:val="none"/>
          <w:lang w:val="zh-CN" w:eastAsia="zh-CN"/>
        </w:rPr>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中国共产党天津市北辰区纪律检查委员会</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40,005,892.10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1,329,174.08</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人员工资增加。</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34,410,977.71元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86.01</w:t>
      </w:r>
      <w:r>
        <w:rPr>
          <w:rFonts w:hint="eastAsia" w:ascii="Times New Roman" w:hAnsi="Times New Roman" w:eastAsia="仿宋_GB2312" w:cs="仿宋_GB2312"/>
          <w:sz w:val="30"/>
          <w:szCs w:val="30"/>
          <w:highlight w:val="none"/>
          <w:lang w:eastAsia="zh-CN"/>
        </w:rPr>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5,594,914.39元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占13.99%；</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上缴上级支出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经营支出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对附属单位补助支出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中国共产党天津市北辰区纪律检查委员会</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40,045,292.21</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1,359,517.62</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3.51</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人员工资增加。</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中国共产党天津市北辰区纪律检查委员会2023年度部门决算一般公共预算财政拨款支出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计40,005,892.10元，占本年支出合计的100.0%，与2022年度相比，一般公共预算财政拨款支出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1,359,517.62元，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3.52%，</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：人员工资增加。</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40,005,892.10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一般公共服务支出38374373.86元，占95.92%；卫生健康支出1631518.24元，占4.08%。</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31,831,510.74</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40,005,892.10</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125.68%</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1.一般公共服务支出（类）纪检监察事务（款）一般行政管理事务（项）的年初预算数为0.00元。支出决算为5,594,914.39元，完成年初预算的0.00%，决算数大于年初预算数的主要原因是增加预算项目。</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2.卫生健康支出（类）行政事业单位医疗（款）公务员医疗补助（项）的年初预算数为278,310.00元。支出决算为261,042.40元，完成年初预算的93.80%，决算数小于年初预算数的主要原因是人员退休、调离。</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3.一般公共服务支出（类）纪检监察事务（款）行政运行（项）的年初预算数为30,092,073.24元。支出决算为32,779,459.47元，完成年初预算的108.93%，决算数大于年初预算数的主要原因是人均收入增加。</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4.卫生健康支出（类）行政事业单位医疗（款）行政单位医疗（项）的年初预算数为1,461,127.50元。支出决算为1,370,475.84元，完成年初预算的93.80%，决算数小于年初预算数的主要原因是人员退休、调离。</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中国共产党天津市北辰区纪律检查委员会</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34,410,977.71</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2,967,460.62</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人员经费增加。</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720"/>
        <w:jc w:val="left"/>
        <w:rPr>
          <w:rFonts w:hint="eastAsia" w:ascii="Times New Roman" w:hAnsi="Times New Roman" w:eastAsia="仿宋_GB2312" w:cs="黑体"/>
          <w:b/>
          <w:bCs/>
          <w:kern w:val="0"/>
          <w:sz w:val="30"/>
          <w:szCs w:val="30"/>
          <w:highlight w:val="none"/>
          <w:lang w:val="en-US" w:eastAsia="zh-CN"/>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30,528,434.56</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基本工资、津贴补贴、奖金、机关事业单位基本养老保险缴费、职业年金缴费、职工基本医疗保险缴费、公务员医疗补助缴费、其他社会保障缴费、住房公积金、其他工资福利支出、退休费、抚恤金、其他对个人和家庭的补助。</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3,882,543.15</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办公费、印刷费、手续费、水费、电费、邮电费、取暖费、差旅费、维修(护)费、租赁费、会议费、培训费、工会经费、福利费、其他交通费用、其他商品和服务支出、办公设备购置。</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中国共产党天津市北辰区纪律检查委员会</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年度部门决算政府性基金预算财政拨款</w:t>
      </w:r>
      <w:r>
        <w:rPr>
          <w:rFonts w:hint="eastAsia" w:ascii="Times New Roman" w:hAnsi="Times New Roman" w:eastAsia="仿宋_GB2312" w:cs="仿宋_GB2312"/>
          <w:kern w:val="0"/>
          <w:sz w:val="30"/>
          <w:szCs w:val="30"/>
          <w:highlight w:val="none"/>
        </w:rPr>
        <w:t>年初结转和结余</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元，收入</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rPr>
        <w:t>支出</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sz w:val="30"/>
          <w:szCs w:val="30"/>
          <w:highlight w:val="none"/>
        </w:rPr>
        <w:t>元，年末结转和结余</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年度相比，政府性基金财政拨款支出</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sz w:val="30"/>
          <w:szCs w:val="30"/>
          <w:highlight w:val="none"/>
          <w:lang w:eastAsia="zh-CN"/>
        </w:rPr>
        <w:t>0.0%</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lang w:val="zh-CN"/>
        </w:rPr>
        <w:t>：</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中国共产党天津市北辰区纪律检查委员会2023年度无政府性基金预算财政拨款收入、支出和结转结余。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中国共产党天津市北辰区纪律检查委员会</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kern w:val="0"/>
          <w:sz w:val="30"/>
          <w:szCs w:val="30"/>
          <w:highlight w:val="none"/>
        </w:rPr>
        <w:t>年度部门决算国有资本经营预算财政拨款年初结转和结余</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元，收入</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元，支出</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元，年末结余和结余</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hint="eastAsia" w:ascii="Times New Roman" w:hAnsi="Times New Roman" w:eastAsia="仿宋_GB2312" w:cs="仿宋_GB2312"/>
          <w:kern w:val="0"/>
          <w:sz w:val="30"/>
          <w:szCs w:val="30"/>
          <w:highlight w:val="none"/>
          <w:lang w:eastAsia="zh-CN"/>
        </w:rPr>
        <w:t>2022</w:t>
      </w:r>
      <w:r>
        <w:rPr>
          <w:rFonts w:hint="eastAsia" w:ascii="Times New Roman" w:hAnsi="Times New Roman" w:eastAsia="仿宋_GB2312" w:cs="仿宋_GB2312"/>
          <w:kern w:val="0"/>
          <w:sz w:val="30"/>
          <w:szCs w:val="30"/>
          <w:highlight w:val="none"/>
        </w:rPr>
        <w:t>年度相比，国有资本经营预算财政拨款支出</w:t>
      </w:r>
      <w:r>
        <w:rPr>
          <w:rFonts w:hint="eastAsia" w:ascii="Times New Roman" w:hAnsi="Times New Roman" w:eastAsia="仿宋_GB2312" w:cs="仿宋_GB2312"/>
          <w:kern w:val="0"/>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lang w:val="zh-CN"/>
        </w:rPr>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中国共产党天津市北辰区纪律检查委员会2023年度无国有资本经营预算财政拨款收入、支出和结转结余。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本年度未用财政拨款经费列支因公出国（境）费/公务用车购置费/公务用车运行维护费/公务接待费。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本年度未用财政拨款经费列支因公出国（境）费/公务用车购置费/公务用车运行维护费/公务接待费。</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本年度未用财政拨款经费列支因公出国（境）费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本年度未用财政拨款经费列支因公出国（境）费。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本年度未用财政拨款经费列支公务用车购置费及运行维护费预算</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本年度未用财政拨款经费列支公务用车购置费及运行维护费预算</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本年度未用财政拨款经费列支公务用车运行维护费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本年度未用财政拨款经费列支公务用车运行维护费。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本年度未用财政拨款经费列支公务用车购置费。</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本年度未用财政拨款经费列支公务接待费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本年度未用财政拨款经费列支公务接待费。</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中国共产党天津市北辰区纪律检查委员会</w:t>
      </w:r>
      <w:r>
        <w:rPr>
          <w:rFonts w:hint="eastAsia" w:ascii="Times New Roman" w:hAnsi="Times New Roman" w:eastAsia="宋体" w:cs="宋体"/>
          <w:kern w:val="0"/>
          <w:sz w:val="30"/>
          <w:szCs w:val="30"/>
          <w:highlight w:val="none"/>
          <w:lang w:eastAsia="zh-CN"/>
        </w:rPr>
        <w:t>2023</w:t>
      </w:r>
      <w:r>
        <w:rPr>
          <w:rFonts w:hint="eastAsia" w:ascii="Times New Roman" w:hAnsi="Times New Roman" w:eastAsia="仿宋_GB2312" w:cs="仿宋_GB2312"/>
          <w:kern w:val="0"/>
          <w:sz w:val="30"/>
          <w:szCs w:val="30"/>
          <w:highlight w:val="none"/>
        </w:rPr>
        <w:t>年度机关运行经费决算数</w:t>
      </w:r>
      <w:r>
        <w:rPr>
          <w:rFonts w:hint="eastAsia" w:ascii="Times New Roman" w:hAnsi="Times New Roman" w:eastAsia="仿宋_GB2312" w:cs="Times New Roman"/>
          <w:kern w:val="0"/>
          <w:sz w:val="30"/>
          <w:szCs w:val="30"/>
          <w:highlight w:val="none"/>
          <w:lang w:eastAsia="zh-CN"/>
        </w:rPr>
        <w:t>3,882,543.15</w:t>
      </w:r>
      <w:r>
        <w:rPr>
          <w:rFonts w:hint="eastAsia" w:ascii="Times New Roman" w:hAnsi="Times New Roman" w:eastAsia="仿宋_GB2312" w:cs="仿宋_GB2312"/>
          <w:kern w:val="0"/>
          <w:sz w:val="30"/>
          <w:szCs w:val="30"/>
          <w:highlight w:val="none"/>
        </w:rPr>
        <w:t>元，比</w:t>
      </w:r>
      <w:r>
        <w:rPr>
          <w:rFonts w:hint="eastAsia" w:ascii="Times New Roman" w:hAnsi="Times New Roman" w:eastAsia="仿宋_GB2312" w:cs="Times New Roman"/>
          <w:kern w:val="0"/>
          <w:sz w:val="30"/>
          <w:szCs w:val="30"/>
          <w:highlight w:val="none"/>
          <w:lang w:eastAsia="zh-CN"/>
        </w:rPr>
        <w:t>2022</w:t>
      </w:r>
      <w:r>
        <w:rPr>
          <w:rFonts w:hint="eastAsia" w:ascii="Times New Roman" w:hAnsi="Times New Roman" w:eastAsia="仿宋_GB2312" w:cs="仿宋_GB2312"/>
          <w:kern w:val="0"/>
          <w:sz w:val="30"/>
          <w:szCs w:val="30"/>
          <w:highlight w:val="none"/>
        </w:rPr>
        <w:t>年</w:t>
      </w:r>
      <w:r>
        <w:rPr>
          <w:rFonts w:hint="eastAsia" w:ascii="Times New Roman" w:hAnsi="Times New Roman" w:eastAsia="仿宋_GB2312" w:cs="仿宋_GB2312"/>
          <w:kern w:val="0"/>
          <w:sz w:val="30"/>
          <w:szCs w:val="30"/>
          <w:highlight w:val="none"/>
          <w:lang w:val="en-US" w:eastAsia="zh-CN"/>
        </w:rPr>
        <w:t>增加</w:t>
      </w:r>
      <w:r>
        <w:rPr>
          <w:rFonts w:hint="eastAsia" w:ascii="Times New Roman" w:hAnsi="Times New Roman" w:eastAsia="仿宋_GB2312" w:cs="仿宋_GB2312"/>
          <w:kern w:val="0"/>
          <w:sz w:val="30"/>
          <w:szCs w:val="30"/>
          <w:highlight w:val="none"/>
          <w:lang w:eastAsia="zh-CN"/>
        </w:rPr>
        <w:t>755,857.10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lang w:val="en-US" w:eastAsia="zh-CN"/>
        </w:rPr>
        <w:t>增长</w:t>
      </w:r>
      <w:r>
        <w:rPr>
          <w:rFonts w:hint="eastAsia" w:ascii="Times New Roman" w:hAnsi="Times New Roman" w:eastAsia="仿宋_GB2312" w:cs="仿宋_GB2312"/>
          <w:kern w:val="0"/>
          <w:sz w:val="30"/>
          <w:szCs w:val="30"/>
          <w:highlight w:val="none"/>
          <w:lang w:eastAsia="zh-CN"/>
        </w:rPr>
        <w:t>24.17</w:t>
      </w:r>
      <w:r>
        <w:rPr>
          <w:rFonts w:hint="eastAsia" w:ascii="Times New Roman" w:hAnsi="Times New Roman" w:eastAsia="仿宋_GB2312" w:cs="Times New Roman"/>
          <w:kern w:val="0"/>
          <w:sz w:val="30"/>
          <w:szCs w:val="30"/>
          <w:highlight w:val="none"/>
          <w:lang w:eastAsia="zh-CN"/>
        </w:rPr>
        <w:t>%</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仿宋_GB2312" w:cs="仿宋_GB2312"/>
          <w:sz w:val="30"/>
          <w:szCs w:val="30"/>
          <w:highlight w:val="none"/>
          <w:lang w:eastAsia="zh-CN"/>
        </w:rPr>
        <w:t>新增纪律教育中心产生相应运营费用。</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中国共产党天津市北辰区纪律检查委员会</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Times New Roman"/>
          <w:kern w:val="0"/>
          <w:sz w:val="30"/>
          <w:szCs w:val="30"/>
          <w:highlight w:val="none"/>
          <w:lang w:eastAsia="zh-CN"/>
        </w:rPr>
        <w:t>2,892,440.00</w:t>
      </w:r>
      <w:r>
        <w:rPr>
          <w:rFonts w:hint="eastAsia" w:ascii="Times New Roman" w:hAnsi="Times New Roman" w:eastAsia="仿宋_GB2312" w:cs="仿宋_GB2312"/>
          <w:color w:val="000000"/>
          <w:kern w:val="0"/>
          <w:sz w:val="30"/>
          <w:szCs w:val="30"/>
          <w:highlight w:val="none"/>
        </w:rPr>
        <w:t>元，其中：政府采购货物支出</w:t>
      </w:r>
      <w:r>
        <w:rPr>
          <w:rFonts w:hint="eastAsia" w:ascii="Times New Roman" w:hAnsi="Times New Roman" w:eastAsia="仿宋_GB2312" w:cs="Times New Roman"/>
          <w:kern w:val="0"/>
          <w:sz w:val="30"/>
          <w:szCs w:val="30"/>
          <w:highlight w:val="none"/>
          <w:lang w:eastAsia="zh-CN"/>
        </w:rPr>
        <w:t>26,000.00</w:t>
      </w:r>
      <w:r>
        <w:rPr>
          <w:rFonts w:hint="eastAsia" w:ascii="Times New Roman" w:hAnsi="Times New Roman" w:eastAsia="仿宋_GB2312" w:cs="仿宋_GB2312"/>
          <w:color w:val="000000"/>
          <w:kern w:val="0"/>
          <w:sz w:val="30"/>
          <w:szCs w:val="30"/>
          <w:highlight w:val="none"/>
        </w:rPr>
        <w:t>元、政府采购工程支出</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Times New Roman"/>
          <w:kern w:val="0"/>
          <w:sz w:val="30"/>
          <w:szCs w:val="30"/>
          <w:highlight w:val="none"/>
          <w:lang w:eastAsia="zh-CN"/>
        </w:rPr>
        <w:t>2,866,440.00</w:t>
      </w:r>
      <w:r>
        <w:rPr>
          <w:rFonts w:hint="eastAsia" w:ascii="Times New Roman" w:hAnsi="Times New Roman" w:eastAsia="仿宋_GB2312" w:cs="仿宋_GB2312"/>
          <w:color w:val="000000"/>
          <w:kern w:val="0"/>
          <w:sz w:val="30"/>
          <w:szCs w:val="30"/>
          <w:highlight w:val="none"/>
        </w:rPr>
        <w:t>元。授予中小企业合同金额</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0.0%</w:t>
      </w:r>
      <w:r>
        <w:rPr>
          <w:rFonts w:hint="eastAsia" w:ascii="Times New Roman" w:hAnsi="Times New Roman" w:eastAsia="仿宋_GB2312" w:cs="仿宋_GB2312"/>
          <w:color w:val="000000"/>
          <w:kern w:val="0"/>
          <w:sz w:val="30"/>
          <w:szCs w:val="30"/>
          <w:highlight w:val="none"/>
        </w:rPr>
        <w:t>，其中：授予小微企业合同金额</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0.0%</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，工程采购授予中小企业合同金额占工程支出金额的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截至</w:t>
      </w:r>
      <w:r>
        <w:rPr>
          <w:rFonts w:ascii="Times New Roman" w:hAnsi="Times New Roman" w:eastAsia="宋体" w:cs="宋体"/>
          <w:color w:val="000000"/>
          <w:kern w:val="0"/>
          <w:sz w:val="30"/>
          <w:szCs w:val="30"/>
          <w:highlight w:val="none"/>
        </w:rPr>
        <w:t>202</w:t>
      </w:r>
      <w:r>
        <w:rPr>
          <w:rFonts w:hint="eastAsia" w:ascii="Times New Roman" w:hAnsi="Times New Roman" w:eastAsia="宋体" w:cs="宋体"/>
          <w:color w:val="000000"/>
          <w:kern w:val="0"/>
          <w:sz w:val="30"/>
          <w:szCs w:val="30"/>
          <w:highlight w:val="none"/>
          <w:lang w:val="en-US" w:eastAsia="zh-CN"/>
        </w:rPr>
        <w:t>3</w:t>
      </w:r>
      <w:r>
        <w:rPr>
          <w:rFonts w:hint="eastAsia" w:ascii="Times New Roman" w:hAnsi="Times New Roman" w:eastAsia="仿宋_GB2312" w:cs="仿宋_GB2312"/>
          <w:color w:val="000000"/>
          <w:kern w:val="0"/>
          <w:sz w:val="30"/>
          <w:szCs w:val="30"/>
          <w:highlight w:val="none"/>
        </w:rPr>
        <w:t>年</w:t>
      </w:r>
      <w:r>
        <w:rPr>
          <w:rFonts w:ascii="Times New Roman" w:hAnsi="Times New Roman" w:eastAsia="仿宋_GB2312" w:cs="Times New Roman"/>
          <w:color w:val="000000"/>
          <w:kern w:val="0"/>
          <w:sz w:val="30"/>
          <w:szCs w:val="30"/>
          <w:highlight w:val="none"/>
        </w:rPr>
        <w:t>12</w:t>
      </w:r>
      <w:r>
        <w:rPr>
          <w:rFonts w:hint="eastAsia" w:ascii="Times New Roman" w:hAnsi="Times New Roman" w:eastAsia="仿宋_GB2312" w:cs="仿宋_GB2312"/>
          <w:color w:val="000000"/>
          <w:kern w:val="0"/>
          <w:sz w:val="30"/>
          <w:szCs w:val="30"/>
          <w:highlight w:val="none"/>
        </w:rPr>
        <w:t>月</w:t>
      </w:r>
      <w:r>
        <w:rPr>
          <w:rFonts w:ascii="Times New Roman" w:hAnsi="Times New Roman" w:eastAsia="仿宋_GB2312" w:cs="Times New Roman"/>
          <w:color w:val="000000"/>
          <w:kern w:val="0"/>
          <w:sz w:val="30"/>
          <w:szCs w:val="30"/>
          <w:highlight w:val="none"/>
        </w:rPr>
        <w:t>31</w:t>
      </w:r>
      <w:r>
        <w:rPr>
          <w:rFonts w:hint="eastAsia" w:ascii="Times New Roman" w:hAnsi="Times New Roman" w:eastAsia="仿宋_GB2312" w:cs="仿宋_GB2312"/>
          <w:color w:val="000000"/>
          <w:kern w:val="0"/>
          <w:sz w:val="30"/>
          <w:szCs w:val="30"/>
          <w:highlight w:val="none"/>
        </w:rPr>
        <w:t>日，</w:t>
      </w:r>
      <w:r>
        <w:rPr>
          <w:rFonts w:hint="eastAsia" w:ascii="Times New Roman" w:hAnsi="Times New Roman" w:eastAsia="仿宋_GB2312" w:cs="仿宋_GB2312"/>
          <w:color w:val="000000"/>
          <w:kern w:val="0"/>
          <w:sz w:val="30"/>
          <w:szCs w:val="30"/>
          <w:highlight w:val="none"/>
          <w:lang w:eastAsia="zh-CN"/>
        </w:rPr>
        <w:t>中国共产党天津市北辰区纪律检查委员会</w:t>
      </w:r>
      <w:r>
        <w:rPr>
          <w:rFonts w:hint="eastAsia" w:ascii="Times New Roman" w:hAnsi="Times New Roman" w:eastAsia="仿宋_GB2312" w:cs="仿宋_GB2312"/>
          <w:color w:val="000000"/>
          <w:kern w:val="0"/>
          <w:sz w:val="30"/>
          <w:szCs w:val="30"/>
          <w:highlight w:val="none"/>
        </w:rPr>
        <w:t>共有车辆</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color w:val="000000"/>
          <w:kern w:val="0"/>
          <w:sz w:val="30"/>
          <w:szCs w:val="30"/>
          <w:highlight w:val="none"/>
        </w:rPr>
        <w:t>辆，其中：</w:t>
      </w:r>
      <w:r>
        <w:rPr>
          <w:rFonts w:ascii="Times New Roman" w:hAnsi="Times New Roman" w:eastAsia="仿宋_GB2312" w:cs="Times New Roman"/>
          <w:kern w:val="0"/>
          <w:sz w:val="30"/>
          <w:szCs w:val="30"/>
          <w:highlight w:val="none"/>
        </w:rPr>
        <w:t>副部（省）级及以上领导用车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主要</w:t>
      </w:r>
      <w:r>
        <w:rPr>
          <w:rFonts w:hint="eastAsia" w:ascii="Times New Roman" w:hAnsi="Times New Roman" w:eastAsia="仿宋_GB2312" w:cs="Times New Roman"/>
          <w:kern w:val="0"/>
          <w:sz w:val="30"/>
          <w:szCs w:val="30"/>
          <w:highlight w:val="none"/>
          <w:lang w:val="en-US" w:eastAsia="zh-CN"/>
        </w:rPr>
        <w:t>负责人</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机要通信用车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应急保障用车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执法执勤用车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特种专业技术用车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离退休干部</w:t>
      </w:r>
      <w:r>
        <w:rPr>
          <w:rFonts w:hint="eastAsia" w:ascii="Times New Roman" w:hAnsi="Times New Roman" w:eastAsia="仿宋_GB2312" w:cs="Times New Roman"/>
          <w:kern w:val="0"/>
          <w:sz w:val="30"/>
          <w:szCs w:val="30"/>
          <w:highlight w:val="none"/>
          <w:lang w:val="en-US" w:eastAsia="zh-CN"/>
        </w:rPr>
        <w:t>服务</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其他用车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hint="eastAsia" w:ascii="Times New Roman" w:hAnsi="Times New Roman" w:eastAsia="仿宋_GB2312" w:cs="Times New Roman"/>
          <w:kern w:val="0"/>
          <w:sz w:val="30"/>
          <w:szCs w:val="30"/>
          <w:highlight w:val="none"/>
        </w:rPr>
        <w:t>，其他用车主要包括</w:t>
      </w:r>
      <w:r>
        <w:rPr>
          <w:rFonts w:hint="eastAsia" w:ascii="Times New Roman" w:hAnsi="Times New Roman" w:eastAsia="仿宋_GB2312" w:cs="仿宋_GB2312"/>
          <w:kern w:val="0"/>
          <w:sz w:val="30"/>
          <w:szCs w:val="30"/>
          <w:highlight w:val="none"/>
          <w:lang w:val="zh-CN"/>
        </w:rPr>
        <w:t>。</w:t>
      </w:r>
      <w:r>
        <w:rPr>
          <w:rFonts w:hint="eastAsia" w:ascii="Times New Roman" w:hAnsi="Times New Roman" w:eastAsia="仿宋_GB2312" w:cs="仿宋_GB2312"/>
          <w:kern w:val="0"/>
          <w:sz w:val="30"/>
          <w:szCs w:val="30"/>
          <w:highlight w:val="none"/>
        </w:rPr>
        <w:t>单价</w:t>
      </w:r>
      <w:r>
        <w:rPr>
          <w:rFonts w:ascii="Times New Roman" w:hAnsi="Times New Roman" w:eastAsia="仿宋_GB2312" w:cs="仿宋_GB2312"/>
          <w:kern w:val="0"/>
          <w:sz w:val="30"/>
          <w:szCs w:val="30"/>
          <w:highlight w:val="none"/>
        </w:rPr>
        <w:t>100</w:t>
      </w:r>
      <w:r>
        <w:rPr>
          <w:rFonts w:hint="eastAsia" w:ascii="Times New Roman" w:hAnsi="Times New Roman" w:eastAsia="仿宋_GB2312" w:cs="仿宋_GB2312"/>
          <w:kern w:val="0"/>
          <w:sz w:val="30"/>
          <w:szCs w:val="30"/>
          <w:highlight w:val="none"/>
        </w:rPr>
        <w:t>万元以上的设备</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中国共产党天津市北辰区纪律检查委员会无国有资产占有使用情况。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根据预算绩效管理要求，天津市北辰区纪律检查委员会2023年度已对</w:t>
      </w:r>
      <w:r>
        <w:rPr>
          <w:rFonts w:hint="eastAsia" w:ascii="Times New Roman" w:hAnsi="Times New Roman" w:eastAsia="仿宋_GB2312" w:cs="仿宋_GB2312"/>
          <w:sz w:val="30"/>
          <w:szCs w:val="30"/>
          <w:highlight w:val="none"/>
          <w:lang w:val="en-US" w:eastAsia="zh-CN"/>
        </w:rPr>
        <w:t>8</w:t>
      </w:r>
      <w:r>
        <w:rPr>
          <w:rFonts w:hint="eastAsia" w:ascii="Times New Roman" w:hAnsi="Times New Roman" w:eastAsia="仿宋_GB2312" w:cs="仿宋_GB2312"/>
          <w:sz w:val="30"/>
          <w:szCs w:val="30"/>
          <w:highlight w:val="none"/>
          <w:lang w:eastAsia="zh-CN"/>
        </w:rPr>
        <w:t>个项目开展绩效自评，涉及金额</w:t>
      </w:r>
      <w:r>
        <w:rPr>
          <w:rFonts w:hint="eastAsia" w:ascii="Times New Roman" w:hAnsi="Times New Roman" w:eastAsia="仿宋_GB2312" w:cs="仿宋_GB2312"/>
          <w:sz w:val="30"/>
          <w:szCs w:val="30"/>
          <w:highlight w:val="none"/>
          <w:lang w:val="en-US" w:eastAsia="zh-CN"/>
        </w:rPr>
        <w:t>4996406.31</w:t>
      </w:r>
      <w:r>
        <w:rPr>
          <w:rFonts w:hint="eastAsia" w:ascii="Times New Roman" w:hAnsi="Times New Roman" w:eastAsia="仿宋_GB2312" w:cs="仿宋_GB2312"/>
          <w:sz w:val="30"/>
          <w:szCs w:val="30"/>
          <w:highlight w:val="none"/>
          <w:lang w:eastAsia="zh-CN"/>
        </w:rPr>
        <w:t>元，自评结果已随部门决算一并公开。已对0个项目开展部门评价，涉及金额0元。</w:t>
      </w:r>
    </w:p>
    <w:p>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中国共产党天津市北辰区纪律检查委</w:t>
      </w:r>
      <w:bookmarkStart w:id="0" w:name="_GoBack"/>
      <w:bookmarkEnd w:id="0"/>
      <w:r>
        <w:rPr>
          <w:rFonts w:hint="eastAsia" w:ascii="Times New Roman" w:hAnsi="Times New Roman" w:eastAsia="仿宋_GB2312" w:cs="仿宋_GB2312"/>
          <w:sz w:val="30"/>
          <w:szCs w:val="30"/>
          <w:highlight w:val="none"/>
          <w:lang w:eastAsia="zh-CN"/>
        </w:rPr>
        <w:t>员会不属于乡、镇、街级单位，不涉及公开2023年度教育、医疗卫生、社会保障和就业、住房保障、涉农补贴等民生支出情况。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7912521"/>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378F2"/>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3150</Words>
  <Characters>5525</Characters>
  <Lines>82</Lines>
  <Paragraphs>23</Paragraphs>
  <TotalTime>29</TotalTime>
  <ScaleCrop>false</ScaleCrop>
  <LinksUpToDate>false</LinksUpToDate>
  <CharactersWithSpaces>5549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e</cp:lastModifiedBy>
  <cp:lastPrinted>2024-09-11T09:44:00Z</cp:lastPrinted>
  <dcterms:modified xsi:type="dcterms:W3CDTF">2025-09-29T01:04:35Z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A44E0A178634409BBBA50D5636087390_13</vt:lpwstr>
  </property>
</Properties>
</file>