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9043C">
      <w:pPr>
        <w:spacing w:line="580" w:lineRule="exact"/>
        <w:jc w:val="center"/>
        <w:rPr>
          <w:rFonts w:ascii="Times New Roman" w:hAnsi="Times New Roman" w:eastAsia="黑体"/>
          <w:w w:val="95"/>
          <w:sz w:val="44"/>
          <w:szCs w:val="44"/>
        </w:rPr>
      </w:pPr>
    </w:p>
    <w:p w14:paraId="14BA7E08">
      <w:pPr>
        <w:spacing w:line="580" w:lineRule="exact"/>
        <w:jc w:val="center"/>
        <w:rPr>
          <w:rFonts w:ascii="Times New Roman" w:hAnsi="Times New Roman" w:eastAsia="黑体"/>
          <w:w w:val="95"/>
          <w:sz w:val="44"/>
          <w:szCs w:val="44"/>
        </w:rPr>
      </w:pPr>
    </w:p>
    <w:p w14:paraId="0E621850">
      <w:pPr>
        <w:spacing w:line="580" w:lineRule="exact"/>
        <w:jc w:val="center"/>
        <w:rPr>
          <w:rFonts w:ascii="Times New Roman" w:hAnsi="Times New Roman" w:eastAsia="黑体"/>
          <w:w w:val="95"/>
          <w:sz w:val="44"/>
          <w:szCs w:val="44"/>
        </w:rPr>
      </w:pPr>
    </w:p>
    <w:p w14:paraId="2151479B">
      <w:pPr>
        <w:spacing w:line="580" w:lineRule="exact"/>
        <w:jc w:val="center"/>
        <w:rPr>
          <w:rFonts w:ascii="Times New Roman" w:hAnsi="Times New Roman" w:eastAsia="黑体"/>
          <w:w w:val="95"/>
          <w:sz w:val="44"/>
          <w:szCs w:val="44"/>
        </w:rPr>
      </w:pPr>
    </w:p>
    <w:p w14:paraId="0490EE74">
      <w:pPr>
        <w:spacing w:line="580" w:lineRule="exact"/>
        <w:jc w:val="center"/>
        <w:rPr>
          <w:rFonts w:ascii="Times New Roman" w:hAnsi="Times New Roman" w:eastAsia="黑体"/>
          <w:w w:val="95"/>
          <w:sz w:val="44"/>
          <w:szCs w:val="44"/>
        </w:rPr>
      </w:pPr>
    </w:p>
    <w:p w14:paraId="5AF4E4EE">
      <w:pPr>
        <w:spacing w:line="580" w:lineRule="exact"/>
        <w:jc w:val="center"/>
        <w:rPr>
          <w:rFonts w:ascii="Times New Roman" w:hAnsi="Times New Roman" w:eastAsia="黑体"/>
          <w:w w:val="95"/>
          <w:sz w:val="44"/>
          <w:szCs w:val="44"/>
        </w:rPr>
      </w:pPr>
    </w:p>
    <w:p w14:paraId="264A0B4E">
      <w:pPr>
        <w:spacing w:line="580" w:lineRule="exact"/>
        <w:jc w:val="center"/>
        <w:rPr>
          <w:rFonts w:ascii="Times New Roman" w:hAnsi="Times New Roman" w:eastAsia="黑体"/>
          <w:w w:val="95"/>
          <w:sz w:val="44"/>
          <w:szCs w:val="44"/>
        </w:rPr>
      </w:pPr>
    </w:p>
    <w:p w14:paraId="088AB2A2">
      <w:pPr>
        <w:spacing w:line="580" w:lineRule="exact"/>
        <w:jc w:val="center"/>
        <w:rPr>
          <w:rFonts w:ascii="Times New Roman" w:hAnsi="Times New Roman" w:eastAsia="黑体"/>
          <w:w w:val="95"/>
          <w:sz w:val="44"/>
          <w:szCs w:val="44"/>
        </w:rPr>
      </w:pPr>
    </w:p>
    <w:p w14:paraId="1BFBD8D2">
      <w:pPr>
        <w:spacing w:line="240" w:lineRule="auto"/>
        <w:jc w:val="center"/>
        <w:rPr>
          <w:rFonts w:ascii="Times New Roman" w:hAnsi="Times New Roman" w:eastAsia="方正小标宋简体" w:cs="方正小标宋简体"/>
          <w:w w:val="95"/>
          <w:sz w:val="48"/>
          <w:szCs w:val="48"/>
        </w:rPr>
      </w:pPr>
      <w:r>
        <w:rPr>
          <w:rFonts w:hint="eastAsia" w:ascii="Times New Roman" w:hAnsi="Times New Roman" w:eastAsia="方正小标宋简体" w:cs="方正小标宋简体"/>
          <w:w w:val="95"/>
          <w:sz w:val="48"/>
          <w:szCs w:val="48"/>
        </w:rPr>
        <w:t>中国共产党天津市津南区纪律检查委员会</w:t>
      </w:r>
    </w:p>
    <w:p w14:paraId="64AAA95F">
      <w:pPr>
        <w:spacing w:line="240" w:lineRule="auto"/>
        <w:jc w:val="center"/>
        <w:rPr>
          <w:rFonts w:ascii="Times New Roman" w:hAnsi="Times New Roman" w:eastAsia="方正小标宋简体" w:cs="方正小标宋简体"/>
          <w:w w:val="95"/>
          <w:sz w:val="48"/>
          <w:szCs w:val="48"/>
        </w:rPr>
      </w:pPr>
      <w:r>
        <w:rPr>
          <w:rFonts w:hint="eastAsia" w:ascii="Times New Roman" w:hAnsi="Times New Roman" w:eastAsia="方正小标宋简体" w:cs="方正小标宋简体"/>
          <w:sz w:val="48"/>
          <w:szCs w:val="48"/>
        </w:rPr>
        <w:t>2024年度部门决算</w:t>
      </w:r>
    </w:p>
    <w:p w14:paraId="633659D3">
      <w:pPr>
        <w:spacing w:line="580" w:lineRule="exact"/>
        <w:jc w:val="center"/>
        <w:rPr>
          <w:rFonts w:ascii="Times New Roman" w:hAnsi="Times New Roman" w:eastAsia="黑体"/>
          <w:sz w:val="30"/>
          <w:szCs w:val="30"/>
        </w:rPr>
      </w:pPr>
    </w:p>
    <w:p w14:paraId="03B5BF18">
      <w:pPr>
        <w:spacing w:line="580" w:lineRule="exact"/>
        <w:jc w:val="center"/>
        <w:rPr>
          <w:rFonts w:ascii="Times New Roman" w:hAnsi="Times New Roman" w:eastAsia="黑体"/>
          <w:sz w:val="30"/>
          <w:szCs w:val="30"/>
        </w:rPr>
      </w:pPr>
      <w:bookmarkStart w:id="33" w:name="_GoBack"/>
      <w:bookmarkEnd w:id="33"/>
    </w:p>
    <w:p w14:paraId="4B477599">
      <w:pPr>
        <w:spacing w:line="580" w:lineRule="exact"/>
        <w:jc w:val="center"/>
        <w:rPr>
          <w:rFonts w:ascii="Times New Roman" w:hAnsi="Times New Roman" w:eastAsia="黑体"/>
          <w:sz w:val="30"/>
          <w:szCs w:val="30"/>
        </w:rPr>
      </w:pPr>
    </w:p>
    <w:p w14:paraId="35877448">
      <w:pPr>
        <w:spacing w:line="580" w:lineRule="exact"/>
        <w:jc w:val="center"/>
        <w:rPr>
          <w:rFonts w:ascii="Times New Roman" w:hAnsi="Times New Roman" w:eastAsia="黑体"/>
          <w:sz w:val="30"/>
          <w:szCs w:val="30"/>
        </w:rPr>
      </w:pPr>
    </w:p>
    <w:p w14:paraId="4C3D3011">
      <w:pPr>
        <w:spacing w:line="580" w:lineRule="exact"/>
        <w:jc w:val="center"/>
        <w:rPr>
          <w:rFonts w:ascii="Times New Roman" w:hAnsi="Times New Roman" w:eastAsia="黑体"/>
          <w:sz w:val="30"/>
          <w:szCs w:val="30"/>
        </w:rPr>
      </w:pPr>
    </w:p>
    <w:p w14:paraId="245BF79B">
      <w:pPr>
        <w:spacing w:line="580" w:lineRule="exact"/>
        <w:jc w:val="center"/>
        <w:rPr>
          <w:rFonts w:ascii="Times New Roman" w:hAnsi="Times New Roman" w:eastAsia="黑体"/>
          <w:sz w:val="44"/>
          <w:szCs w:val="44"/>
        </w:rPr>
      </w:pPr>
    </w:p>
    <w:p w14:paraId="546756D5">
      <w:pPr>
        <w:spacing w:line="600" w:lineRule="exact"/>
        <w:jc w:val="center"/>
        <w:rPr>
          <w:rFonts w:ascii="Times New Roman" w:hAnsi="Times New Roman" w:eastAsia="黑体"/>
          <w:sz w:val="44"/>
          <w:szCs w:val="44"/>
        </w:rPr>
        <w:sectPr>
          <w:pgSz w:w="11906" w:h="16838"/>
          <w:pgMar w:top="1440" w:right="1800" w:bottom="1440" w:left="1800" w:header="851" w:footer="992" w:gutter="0"/>
          <w:pgNumType w:start="1"/>
          <w:cols w:space="720" w:num="1"/>
          <w:docGrid w:type="lines" w:linePitch="312" w:charSpace="0"/>
        </w:sectPr>
      </w:pPr>
    </w:p>
    <w:p w14:paraId="4E40AD25">
      <w:pPr>
        <w:spacing w:line="600" w:lineRule="exact"/>
        <w:jc w:val="center"/>
        <w:rPr>
          <w:rFonts w:ascii="Times New Roman" w:hAnsi="Times New Roman" w:eastAsia="黑体"/>
          <w:sz w:val="44"/>
          <w:szCs w:val="44"/>
        </w:rPr>
      </w:pPr>
    </w:p>
    <w:p w14:paraId="306CA59E">
      <w:pPr>
        <w:spacing w:line="600" w:lineRule="exact"/>
        <w:jc w:val="center"/>
        <w:rPr>
          <w:rFonts w:ascii="Times New Roman" w:hAnsi="Times New Roman" w:eastAsia="黑体"/>
          <w:sz w:val="44"/>
          <w:szCs w:val="44"/>
        </w:rPr>
      </w:pPr>
      <w:r>
        <w:rPr>
          <w:rFonts w:hint="eastAsia" w:ascii="Times New Roman" w:hAnsi="Times New Roman" w:eastAsia="黑体"/>
          <w:sz w:val="44"/>
          <w:szCs w:val="44"/>
        </w:rPr>
        <w:t>目   录</w:t>
      </w:r>
    </w:p>
    <w:p w14:paraId="777085DA">
      <w:pPr>
        <w:spacing w:line="600" w:lineRule="exact"/>
        <w:rPr>
          <w:rFonts w:ascii="Times New Roman" w:hAnsi="Times New Roman" w:eastAsia="黑体"/>
          <w:sz w:val="30"/>
          <w:szCs w:val="30"/>
        </w:rPr>
      </w:pPr>
    </w:p>
    <w:p w14:paraId="3CF3B6B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fldChar w:fldCharType="begin"/>
      </w:r>
      <w:r>
        <w:instrText xml:space="preserve"> HYPERLINK \l "_Toc15895" </w:instrText>
      </w:r>
      <w:r>
        <w:fldChar w:fldCharType="separate"/>
      </w:r>
      <w:r>
        <w:rPr>
          <w:rFonts w:hint="eastAsia" w:ascii="Times New Roman" w:hAnsi="Times New Roman" w:eastAsia="方正小标宋简体" w:cs="方正小标宋简体"/>
          <w:sz w:val="30"/>
          <w:szCs w:val="30"/>
        </w:rPr>
        <w:t>第一部分  概 况</w:t>
      </w:r>
      <w:r>
        <w:rPr>
          <w:rFonts w:hint="eastAsia" w:ascii="Times New Roman" w:hAnsi="Times New Roman" w:eastAsia="方正小标宋简体" w:cs="方正小标宋简体"/>
          <w:sz w:val="30"/>
          <w:szCs w:val="30"/>
        </w:rPr>
        <w:fldChar w:fldCharType="end"/>
      </w:r>
    </w:p>
    <w:p w14:paraId="19E700A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"_Toc28346" </w:instrText>
      </w:r>
      <w:r>
        <w:fldChar w:fldCharType="separate"/>
      </w:r>
      <w:r>
        <w:rPr>
          <w:rFonts w:hint="eastAsia" w:ascii="Times New Roman" w:hAnsi="Times New Roman" w:eastAsia="仿宋_GB2312" w:cs="仿宋_GB2312"/>
          <w:bCs w:val="0"/>
          <w:sz w:val="30"/>
          <w:szCs w:val="30"/>
        </w:rPr>
        <w:t>一、主要职责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_Toc28346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D5963D8">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"_Toc25737" </w:instrText>
      </w:r>
      <w:r>
        <w:fldChar w:fldCharType="separate"/>
      </w:r>
      <w:r>
        <w:rPr>
          <w:rFonts w:hint="eastAsia" w:ascii="Times New Roman" w:hAnsi="Times New Roman" w:eastAsia="仿宋_GB2312" w:cs="仿宋_GB2312"/>
          <w:sz w:val="30"/>
          <w:szCs w:val="30"/>
        </w:rPr>
        <w:t>二、机构设置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_Toc25737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69EDA35">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"_Toc25448" </w:instrText>
      </w:r>
      <w:r>
        <w:fldChar w:fldCharType="separate"/>
      </w:r>
      <w:r>
        <w:rPr>
          <w:rFonts w:hint="eastAsia" w:ascii="Times New Roman" w:hAnsi="Times New Roman" w:eastAsia="方正小标宋简体" w:cs="方正小标宋简体"/>
          <w:sz w:val="30"/>
          <w:szCs w:val="30"/>
        </w:rPr>
        <w:t>第二部分  2024年度部门决算表</w:t>
      </w:r>
      <w:r>
        <w:rPr>
          <w:rFonts w:hint="eastAsia" w:ascii="Times New Roman" w:hAnsi="Times New Roman" w:eastAsia="方正小标宋简体" w:cs="方正小标宋简体"/>
          <w:sz w:val="30"/>
          <w:szCs w:val="30"/>
        </w:rPr>
        <w:fldChar w:fldCharType="end"/>
      </w:r>
    </w:p>
    <w:p w14:paraId="5FABE85C">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"_Toc8089" </w:instrText>
      </w:r>
      <w:r>
        <w:fldChar w:fldCharType="separate"/>
      </w:r>
      <w:r>
        <w:rPr>
          <w:rFonts w:hint="eastAsia" w:ascii="Times New Roman" w:hAnsi="Times New Roman" w:eastAsia="仿宋_GB2312" w:cs="仿宋_GB2312"/>
          <w:sz w:val="30"/>
          <w:szCs w:val="30"/>
        </w:rPr>
        <w:t>一、《收入支出决算总表》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_Toc8089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AFCFE1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"_Toc29574" </w:instrText>
      </w:r>
      <w:r>
        <w:fldChar w:fldCharType="separate"/>
      </w:r>
      <w:r>
        <w:rPr>
          <w:rFonts w:hint="eastAsia" w:ascii="Times New Roman" w:hAnsi="Times New Roman" w:eastAsia="仿宋_GB2312" w:cs="仿宋_GB2312"/>
          <w:sz w:val="30"/>
          <w:szCs w:val="30"/>
        </w:rPr>
        <w:t>二、《收入决算表（按功能分类列示）》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_Toc29574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515C2A3">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"_Toc1392" </w:instrText>
      </w:r>
      <w:r>
        <w:fldChar w:fldCharType="separate"/>
      </w:r>
      <w:r>
        <w:rPr>
          <w:rFonts w:hint="eastAsia" w:ascii="Times New Roman" w:hAnsi="Times New Roman" w:eastAsia="仿宋_GB2312" w:cs="仿宋_GB2312"/>
          <w:sz w:val="30"/>
          <w:szCs w:val="30"/>
        </w:rPr>
        <w:t>三、《收入决算表（按单位列示）》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_Toc1392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BAC9CAC">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"_Toc28946" </w:instrText>
      </w:r>
      <w:r>
        <w:fldChar w:fldCharType="separate"/>
      </w:r>
      <w:r>
        <w:rPr>
          <w:rFonts w:hint="eastAsia" w:ascii="Times New Roman" w:hAnsi="Times New Roman" w:eastAsia="仿宋_GB2312" w:cs="仿宋_GB2312"/>
          <w:sz w:val="30"/>
          <w:szCs w:val="30"/>
        </w:rPr>
        <w:t>四、《支出决算表》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_Toc28946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E6C2F67">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"_Toc10939" </w:instrText>
      </w:r>
      <w:r>
        <w:fldChar w:fldCharType="separate"/>
      </w:r>
      <w:r>
        <w:rPr>
          <w:rFonts w:hint="eastAsia" w:ascii="Times New Roman" w:hAnsi="Times New Roman" w:eastAsia="仿宋_GB2312" w:cs="仿宋_GB2312"/>
          <w:sz w:val="30"/>
          <w:szCs w:val="30"/>
        </w:rPr>
        <w:t>五、《财政拨款收入支出决算总表》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_Toc10939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1801A8B">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"_Toc9732" </w:instrText>
      </w:r>
      <w:r>
        <w:fldChar w:fldCharType="separate"/>
      </w:r>
      <w:r>
        <w:rPr>
          <w:rFonts w:hint="eastAsia" w:ascii="Times New Roman" w:hAnsi="Times New Roman" w:eastAsia="仿宋_GB2312" w:cs="仿宋_GB2312"/>
          <w:sz w:val="30"/>
          <w:szCs w:val="30"/>
        </w:rPr>
        <w:t>六、《一般公共预算财政拨款支出决算表》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_Toc9732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4EBFD03">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"_Toc8588" </w:instrText>
      </w:r>
      <w:r>
        <w:fldChar w:fldCharType="separate"/>
      </w:r>
      <w:r>
        <w:rPr>
          <w:rFonts w:hint="eastAsia" w:ascii="Times New Roman" w:hAnsi="Times New Roman" w:eastAsia="仿宋_GB2312" w:cs="仿宋_GB2312"/>
          <w:sz w:val="30"/>
          <w:szCs w:val="30"/>
        </w:rPr>
        <w:t>七、《一般公共预算财政拨款基本支出决算表》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_Toc8588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1A311DD">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"_Toc29750" </w:instrText>
      </w:r>
      <w:r>
        <w:fldChar w:fldCharType="separate"/>
      </w:r>
      <w:r>
        <w:rPr>
          <w:rFonts w:hint="eastAsia" w:ascii="Times New Roman" w:hAnsi="Times New Roman" w:eastAsia="仿宋_GB2312" w:cs="仿宋_GB2312"/>
          <w:sz w:val="30"/>
          <w:szCs w:val="30"/>
        </w:rPr>
        <w:t>八、《政府性基金预算财政拨款收入支出决算表》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_Toc29750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6AD80EC">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"_Toc17443" </w:instrText>
      </w:r>
      <w:r>
        <w:fldChar w:fldCharType="separate"/>
      </w:r>
      <w:r>
        <w:rPr>
          <w:rFonts w:hint="eastAsia" w:ascii="Times New Roman" w:hAnsi="Times New Roman" w:eastAsia="仿宋_GB2312" w:cs="仿宋_GB2312"/>
          <w:sz w:val="30"/>
          <w:szCs w:val="30"/>
        </w:rPr>
        <w:t>九、《国有资本经营预算财政拨款收入支出决算表》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_Toc17443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07EEA0F">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"_Toc30096" </w:instrText>
      </w:r>
      <w:r>
        <w:fldChar w:fldCharType="separate"/>
      </w:r>
      <w:r>
        <w:rPr>
          <w:rFonts w:hint="eastAsia" w:ascii="Times New Roman" w:hAnsi="Times New Roman" w:eastAsia="仿宋_GB2312" w:cs="仿宋_GB2312"/>
          <w:sz w:val="30"/>
          <w:szCs w:val="30"/>
        </w:rPr>
        <w:t>十、《财政拨款“三公”经费支出决算表》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_Toc30096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DBE449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"_Toc21214" </w:instrText>
      </w:r>
      <w:r>
        <w:fldChar w:fldCharType="separate"/>
      </w:r>
      <w:r>
        <w:rPr>
          <w:rFonts w:hint="eastAsia" w:ascii="Times New Roman" w:hAnsi="Times New Roman" w:eastAsia="仿宋_GB2312" w:cs="仿宋_GB2312"/>
          <w:sz w:val="30"/>
          <w:szCs w:val="30"/>
        </w:rPr>
        <w:t>十一、《项目支出决算表》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_Toc21214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7298B73">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"_Toc9893" </w:instrText>
      </w:r>
      <w:r>
        <w:fldChar w:fldCharType="separate"/>
      </w:r>
      <w:r>
        <w:rPr>
          <w:rFonts w:hint="eastAsia" w:ascii="Times New Roman" w:hAnsi="Times New Roman" w:eastAsia="仿宋_GB2312" w:cs="仿宋_GB2312"/>
          <w:sz w:val="30"/>
          <w:szCs w:val="30"/>
        </w:rPr>
        <w:t>十二、关于空表的说明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_Toc9893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30B8EB8">
      <w:pP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br w:type="page"/>
      </w:r>
    </w:p>
    <w:p w14:paraId="0A215CC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"_Toc26351" </w:instrText>
      </w:r>
      <w:r>
        <w:fldChar w:fldCharType="separate"/>
      </w:r>
      <w:r>
        <w:rPr>
          <w:rFonts w:hint="eastAsia" w:ascii="Times New Roman" w:hAnsi="Times New Roman" w:eastAsia="方正小标宋简体" w:cs="方正小标宋简体"/>
          <w:sz w:val="30"/>
          <w:szCs w:val="30"/>
        </w:rPr>
        <w:t>第三部分  2024年度部门决算情况说明</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_Toc26351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3</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14:paraId="248AEA6E">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"_Toc14113" </w:instrText>
      </w:r>
      <w:r>
        <w:fldChar w:fldCharType="separate"/>
      </w:r>
      <w:r>
        <w:rPr>
          <w:rFonts w:hint="eastAsia" w:ascii="Times New Roman" w:hAnsi="Times New Roman" w:eastAsia="仿宋_GB2312" w:cs="仿宋_GB2312"/>
          <w:sz w:val="30"/>
          <w:szCs w:val="30"/>
        </w:rPr>
        <w:t>一、收入支出决算总体情况说明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_Toc14113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475ED2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"_Toc1931" </w:instrText>
      </w:r>
      <w:r>
        <w:fldChar w:fldCharType="separate"/>
      </w:r>
      <w:r>
        <w:rPr>
          <w:rFonts w:hint="eastAsia" w:ascii="Times New Roman" w:hAnsi="Times New Roman" w:eastAsia="仿宋_GB2312" w:cs="仿宋_GB2312"/>
          <w:sz w:val="30"/>
          <w:szCs w:val="30"/>
        </w:rPr>
        <w:t>二、收入决算情况说明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_Toc1931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9F541A6">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"_Toc14007" </w:instrText>
      </w:r>
      <w:r>
        <w:fldChar w:fldCharType="separate"/>
      </w:r>
      <w:r>
        <w:rPr>
          <w:rFonts w:hint="eastAsia" w:ascii="Times New Roman" w:hAnsi="Times New Roman" w:eastAsia="仿宋_GB2312" w:cs="仿宋_GB2312"/>
          <w:sz w:val="30"/>
          <w:szCs w:val="30"/>
        </w:rPr>
        <w:t>三、支出决算情况说明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_Toc14007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027862E">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"_Toc23974" </w:instrText>
      </w:r>
      <w:r>
        <w:fldChar w:fldCharType="separate"/>
      </w:r>
      <w:r>
        <w:rPr>
          <w:rFonts w:hint="eastAsia" w:ascii="Times New Roman" w:hAnsi="Times New Roman" w:eastAsia="仿宋_GB2312" w:cs="仿宋_GB2312"/>
          <w:sz w:val="30"/>
          <w:szCs w:val="30"/>
        </w:rPr>
        <w:t>四、财政拨款收支决算总体情况说明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_Toc23974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623B4C1">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"_Toc19057" </w:instrText>
      </w:r>
      <w:r>
        <w:fldChar w:fldCharType="separate"/>
      </w:r>
      <w:r>
        <w:rPr>
          <w:rFonts w:hint="eastAsia" w:ascii="Times New Roman" w:hAnsi="Times New Roman" w:eastAsia="仿宋_GB2312" w:cs="仿宋_GB2312"/>
          <w:sz w:val="30"/>
          <w:szCs w:val="30"/>
        </w:rPr>
        <w:t>五、一般公共预算财政拨款支出决算情况说明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_Toc19057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361FE80">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"_Toc8826" </w:instrText>
      </w:r>
      <w:r>
        <w:fldChar w:fldCharType="separate"/>
      </w:r>
      <w:r>
        <w:rPr>
          <w:rFonts w:hint="eastAsia" w:ascii="Times New Roman" w:hAnsi="Times New Roman" w:eastAsia="仿宋_GB2312" w:cs="仿宋_GB2312"/>
          <w:sz w:val="30"/>
          <w:szCs w:val="30"/>
        </w:rPr>
        <w:t>六、一般公共预算财政拨款基本支出决算情况说明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_Toc8826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7</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6EE7478">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"_Toc13712" </w:instrText>
      </w:r>
      <w:r>
        <w:fldChar w:fldCharType="separate"/>
      </w:r>
      <w:r>
        <w:rPr>
          <w:rFonts w:hint="eastAsia" w:ascii="Times New Roman" w:hAnsi="Times New Roman" w:eastAsia="仿宋_GB2312" w:cs="仿宋_GB2312"/>
          <w:sz w:val="30"/>
          <w:szCs w:val="30"/>
        </w:rPr>
        <w:t>七、政府性基金预算财政拨款收支决算情况说明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_Toc13712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7</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F2B1286">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"_Toc1902" </w:instrText>
      </w:r>
      <w:r>
        <w:fldChar w:fldCharType="separate"/>
      </w:r>
      <w:r>
        <w:rPr>
          <w:rFonts w:hint="eastAsia" w:ascii="Times New Roman" w:hAnsi="Times New Roman" w:eastAsia="仿宋_GB2312" w:cs="仿宋_GB2312"/>
          <w:sz w:val="30"/>
          <w:szCs w:val="30"/>
        </w:rPr>
        <w:t>八、国有资本经营预算财政拨款收支决算情况说明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78CE9D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"_Toc6751" </w:instrText>
      </w:r>
      <w:r>
        <w:fldChar w:fldCharType="separate"/>
      </w:r>
      <w:r>
        <w:rPr>
          <w:rFonts w:hint="eastAsia" w:ascii="Times New Roman" w:hAnsi="Times New Roman" w:eastAsia="仿宋_GB2312" w:cs="仿宋_GB2312"/>
          <w:sz w:val="30"/>
          <w:szCs w:val="30"/>
        </w:rPr>
        <w:t>九、财政拨款“三公”经费支出决算情况说明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_Toc6751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5912461">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"_Toc2589" </w:instrText>
      </w:r>
      <w:r>
        <w:fldChar w:fldCharType="separate"/>
      </w:r>
      <w:r>
        <w:rPr>
          <w:rFonts w:hint="eastAsia" w:ascii="Times New Roman" w:hAnsi="Times New Roman" w:eastAsia="仿宋_GB2312" w:cs="仿宋_GB2312"/>
          <w:sz w:val="30"/>
          <w:szCs w:val="30"/>
        </w:rPr>
        <w:t>十、机关运行经费支出情况说明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DDC57D5">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"_Toc15010" </w:instrText>
      </w:r>
      <w:r>
        <w:fldChar w:fldCharType="separate"/>
      </w:r>
      <w:r>
        <w:rPr>
          <w:rFonts w:hint="eastAsia" w:ascii="Times New Roman" w:hAnsi="Times New Roman" w:eastAsia="仿宋_GB2312" w:cs="仿宋_GB2312"/>
          <w:sz w:val="30"/>
          <w:szCs w:val="30"/>
        </w:rPr>
        <w:t>十一、政府采购支出情况说明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_Toc15010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747DEDA">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"_Toc32128" </w:instrText>
      </w:r>
      <w:r>
        <w:fldChar w:fldCharType="separate"/>
      </w:r>
      <w:r>
        <w:rPr>
          <w:rFonts w:hint="eastAsia" w:ascii="Times New Roman" w:hAnsi="Times New Roman" w:eastAsia="仿宋_GB2312" w:cs="仿宋_GB2312"/>
          <w:sz w:val="30"/>
          <w:szCs w:val="30"/>
        </w:rPr>
        <w:t>十二、国有资产占有使用情况说明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_Toc32128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9536D32">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sz w:val="30"/>
          <w:szCs w:val="30"/>
        </w:rPr>
      </w:pPr>
      <w:r>
        <w:fldChar w:fldCharType="begin"/>
      </w:r>
      <w:r>
        <w:instrText xml:space="preserve"> HYPERLINK \l "_Toc31889" </w:instrText>
      </w:r>
      <w:r>
        <w:fldChar w:fldCharType="separate"/>
      </w:r>
      <w:r>
        <w:rPr>
          <w:rFonts w:hint="eastAsia" w:ascii="Times New Roman" w:hAnsi="Times New Roman" w:eastAsia="仿宋_GB2312" w:cs="仿宋_GB2312"/>
          <w:sz w:val="30"/>
          <w:szCs w:val="30"/>
        </w:rPr>
        <w:t>十三、预算绩效情况说明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_Toc31889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5CD4CA0">
      <w:pPr>
        <w:pStyle w:val="10"/>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hint="eastAsia" w:ascii="Times New Roman" w:hAnsi="Times New Roman" w:eastAsia="仿宋_GB2312" w:cs="仿宋_GB2312"/>
          <w:bCs w:val="0"/>
          <w:sz w:val="30"/>
          <w:szCs w:val="30"/>
        </w:rPr>
      </w:pPr>
      <w:r>
        <w:fldChar w:fldCharType="begin"/>
      </w:r>
      <w:r>
        <w:instrText xml:space="preserve"> HYPERLINK \l "_Toc6543" </w:instrText>
      </w:r>
      <w:r>
        <w:fldChar w:fldCharType="separate"/>
      </w:r>
      <w:r>
        <w:rPr>
          <w:rFonts w:hint="eastAsia" w:ascii="Times New Roman" w:hAnsi="Times New Roman" w:eastAsia="仿宋_GB2312" w:cs="仿宋_GB2312"/>
          <w:sz w:val="30"/>
          <w:szCs w:val="30"/>
        </w:rPr>
        <w:t>十四、教育、医疗卫生、社会保障和就业、住房保障、涉农补贴等民生支出情况说明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_Toc6543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18907E5">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700" w:lineRule="exact"/>
        <w:textAlignment w:val="auto"/>
        <w:rPr>
          <w:rFonts w:hint="eastAsia" w:ascii="Times New Roman" w:hAnsi="Times New Roman" w:eastAsia="方正小标宋简体" w:cs="方正小标宋简体"/>
          <w:sz w:val="30"/>
          <w:szCs w:val="30"/>
        </w:rPr>
      </w:pPr>
      <w:r>
        <w:fldChar w:fldCharType="begin"/>
      </w:r>
      <w:r>
        <w:instrText xml:space="preserve"> HYPERLINK \l "_Toc24691" </w:instrText>
      </w:r>
      <w:r>
        <w:fldChar w:fldCharType="separate"/>
      </w:r>
      <w:r>
        <w:rPr>
          <w:rFonts w:hint="eastAsia" w:ascii="Times New Roman" w:hAnsi="Times New Roman" w:eastAsia="方正小标宋简体" w:cs="方正小标宋简体"/>
          <w:sz w:val="30"/>
          <w:szCs w:val="30"/>
        </w:rPr>
        <w:t>第四部分  名词解释</w:t>
      </w:r>
      <w:r>
        <w:rPr>
          <w:rFonts w:hint="eastAsia" w:ascii="Times New Roman" w:hAnsi="Times New Roman" w:eastAsia="方正小标宋简体" w:cs="方正小标宋简体"/>
          <w:sz w:val="30"/>
          <w:szCs w:val="30"/>
        </w:rPr>
        <w:tab/>
      </w:r>
      <w:r>
        <w:rPr>
          <w:rFonts w:hint="eastAsia" w:ascii="Times New Roman" w:hAnsi="Times New Roman" w:eastAsia="方正小标宋简体" w:cs="方正小标宋简体"/>
          <w:sz w:val="30"/>
          <w:szCs w:val="30"/>
        </w:rPr>
        <w:fldChar w:fldCharType="begin"/>
      </w:r>
      <w:r>
        <w:rPr>
          <w:rFonts w:hint="eastAsia" w:ascii="Times New Roman" w:hAnsi="Times New Roman" w:eastAsia="方正小标宋简体" w:cs="方正小标宋简体"/>
          <w:sz w:val="30"/>
          <w:szCs w:val="30"/>
        </w:rPr>
        <w:instrText xml:space="preserve"> PAGEREF _Toc24691 \h </w:instrText>
      </w:r>
      <w:r>
        <w:rPr>
          <w:rFonts w:hint="eastAsia" w:ascii="Times New Roman" w:hAnsi="Times New Roman" w:eastAsia="方正小标宋简体" w:cs="方正小标宋简体"/>
          <w:sz w:val="30"/>
          <w:szCs w:val="30"/>
        </w:rPr>
        <w:fldChar w:fldCharType="separate"/>
      </w:r>
      <w:r>
        <w:rPr>
          <w:rFonts w:hint="eastAsia" w:ascii="Times New Roman" w:hAnsi="Times New Roman" w:eastAsia="方正小标宋简体" w:cs="方正小标宋简体"/>
          <w:sz w:val="30"/>
          <w:szCs w:val="30"/>
        </w:rPr>
        <w:t>12</w:t>
      </w:r>
      <w:r>
        <w:rPr>
          <w:rFonts w:hint="eastAsia" w:ascii="Times New Roman" w:hAnsi="Times New Roman" w:eastAsia="方正小标宋简体" w:cs="方正小标宋简体"/>
          <w:sz w:val="30"/>
          <w:szCs w:val="30"/>
        </w:rPr>
        <w:fldChar w:fldCharType="end"/>
      </w:r>
      <w:r>
        <w:rPr>
          <w:rFonts w:hint="eastAsia" w:ascii="Times New Roman" w:hAnsi="Times New Roman" w:eastAsia="方正小标宋简体" w:cs="方正小标宋简体"/>
          <w:sz w:val="30"/>
          <w:szCs w:val="30"/>
        </w:rPr>
        <w:fldChar w:fldCharType="end"/>
      </w:r>
    </w:p>
    <w:p w14:paraId="087CC8A5">
      <w:pPr>
        <w:pStyle w:val="10"/>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hAnsi="Times New Roman" w:eastAsia="仿宋_GB2312"/>
          <w:sz w:val="32"/>
          <w:szCs w:val="32"/>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szCs w:val="30"/>
        </w:rPr>
        <w:fldChar w:fldCharType="end"/>
      </w:r>
    </w:p>
    <w:p w14:paraId="027514B6">
      <w:pPr>
        <w:rPr>
          <w:rFonts w:ascii="Times New Roman" w:hAnsi="Times New Roman"/>
        </w:rPr>
      </w:pPr>
    </w:p>
    <w:p w14:paraId="7CF63184">
      <w:pPr>
        <w:pStyle w:val="2"/>
        <w:spacing w:before="0" w:after="0" w:line="600" w:lineRule="exact"/>
        <w:jc w:val="center"/>
        <w:rPr>
          <w:rFonts w:ascii="Times New Roman" w:hAnsi="Times New Roman" w:eastAsia="方正小标宋简体" w:cs="方正小标宋简体"/>
          <w:b w:val="0"/>
          <w:sz w:val="48"/>
          <w:szCs w:val="48"/>
        </w:rPr>
      </w:pPr>
    </w:p>
    <w:p w14:paraId="29229EAA">
      <w:pPr>
        <w:pStyle w:val="2"/>
        <w:spacing w:before="0" w:after="0" w:line="600" w:lineRule="exact"/>
        <w:jc w:val="center"/>
        <w:rPr>
          <w:rFonts w:ascii="Times New Roman" w:hAnsi="Times New Roman" w:eastAsia="方正小标宋简体" w:cs="方正小标宋简体"/>
          <w:b w:val="0"/>
        </w:rPr>
      </w:pPr>
      <w:bookmarkStart w:id="0" w:name="_Toc15895"/>
      <w:r>
        <w:rPr>
          <w:rFonts w:hint="eastAsia" w:ascii="Times New Roman" w:hAnsi="Times New Roman" w:eastAsia="方正小标宋简体" w:cs="方正小标宋简体"/>
          <w:b w:val="0"/>
        </w:rPr>
        <w:t>第一部分  概 况</w:t>
      </w:r>
      <w:bookmarkEnd w:id="0"/>
    </w:p>
    <w:p w14:paraId="6FE40136">
      <w:pPr>
        <w:spacing w:line="600" w:lineRule="exact"/>
        <w:rPr>
          <w:rFonts w:ascii="Times New Roman" w:hAnsi="Times New Roman"/>
        </w:rPr>
      </w:pPr>
    </w:p>
    <w:p w14:paraId="6D1F02A2">
      <w:pPr>
        <w:pStyle w:val="3"/>
        <w:spacing w:before="0" w:after="0" w:line="600" w:lineRule="exact"/>
        <w:ind w:firstLine="600" w:firstLineChars="200"/>
        <w:rPr>
          <w:rFonts w:ascii="Times New Roman" w:hAnsi="Times New Roman" w:eastAsia="黑体"/>
          <w:b w:val="0"/>
          <w:bCs w:val="0"/>
          <w:sz w:val="30"/>
          <w:szCs w:val="30"/>
        </w:rPr>
      </w:pPr>
      <w:bookmarkStart w:id="1" w:name="_Toc28346"/>
      <w:r>
        <w:rPr>
          <w:rFonts w:hint="eastAsia" w:ascii="Times New Roman" w:hAnsi="Times New Roman" w:eastAsia="黑体"/>
          <w:b w:val="0"/>
          <w:bCs w:val="0"/>
          <w:sz w:val="30"/>
          <w:szCs w:val="30"/>
        </w:rPr>
        <w:t>一、主要职责</w:t>
      </w:r>
      <w:bookmarkEnd w:id="1"/>
    </w:p>
    <w:p w14:paraId="3FC5401C">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sz w:val="30"/>
          <w:szCs w:val="30"/>
        </w:rPr>
        <w:t>中国共产党天津市津南区纪律检查委员会主要职责是：负责贯彻落实党中央、中央纪委、市纪委和区委关于加强党风廉政建设的决定，维护党的章程和党内法规，检查党的路线、方针、政策和区委决议、决定的贯彻执行情况。区纪委机关与区监察委合署办公，实行一套工作机构、两个机关名称的体制，履行党的纪律检查和国家监察两种职能，区纪委受中共津南区委和中共天津市纪委的双重领导。</w:t>
      </w:r>
    </w:p>
    <w:p w14:paraId="436B1FE8">
      <w:pPr>
        <w:pStyle w:val="3"/>
        <w:spacing w:before="0" w:after="0" w:line="600" w:lineRule="exact"/>
        <w:ind w:firstLine="600" w:firstLineChars="200"/>
        <w:rPr>
          <w:rFonts w:ascii="Times New Roman" w:hAnsi="Times New Roman" w:eastAsia="黑体"/>
          <w:b w:val="0"/>
          <w:bCs w:val="0"/>
          <w:sz w:val="30"/>
          <w:szCs w:val="30"/>
        </w:rPr>
      </w:pPr>
      <w:bookmarkStart w:id="2" w:name="_Toc25737"/>
      <w:r>
        <w:rPr>
          <w:rFonts w:hint="eastAsia" w:ascii="Times New Roman" w:hAnsi="Times New Roman" w:eastAsia="黑体"/>
          <w:b w:val="0"/>
          <w:bCs w:val="0"/>
          <w:sz w:val="30"/>
          <w:szCs w:val="30"/>
        </w:rPr>
        <w:t>二、机构设置</w:t>
      </w:r>
      <w:bookmarkEnd w:id="2"/>
    </w:p>
    <w:p w14:paraId="43DD8E9B">
      <w:pPr>
        <w:spacing w:line="600" w:lineRule="exact"/>
        <w:ind w:firstLine="600" w:firstLineChars="200"/>
        <w:rPr>
          <w:rFonts w:ascii="Times New Roman" w:hAnsi="Times New Roman" w:eastAsia="楷体_GB2312"/>
          <w:b/>
          <w:sz w:val="30"/>
          <w:szCs w:val="30"/>
        </w:rPr>
      </w:pPr>
      <w:r>
        <w:rPr>
          <w:rFonts w:hint="eastAsia" w:ascii="Times New Roman" w:hAnsi="Times New Roman" w:eastAsia="仿宋_GB2312"/>
          <w:sz w:val="30"/>
          <w:szCs w:val="30"/>
        </w:rPr>
        <w:t>中国共产党天津市津南区纪律检查委员会内设14个职能科室。纳入中国共产党天津市津南区纪律检查委员会2024年度部门决算编制范围的单位包括：</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中国共产党天津市津南区纪律检查委员会</w:t>
      </w:r>
      <w:r>
        <w:rPr>
          <w:rFonts w:ascii="Times New Roman" w:hAnsi="Times New Roman" w:eastAsia="楷体_GB2312"/>
          <w:b/>
          <w:sz w:val="30"/>
          <w:szCs w:val="30"/>
        </w:rPr>
        <w:br w:type="page"/>
      </w:r>
    </w:p>
    <w:p w14:paraId="552CBE01">
      <w:pPr>
        <w:pStyle w:val="2"/>
        <w:spacing w:before="0" w:after="0" w:line="600" w:lineRule="exact"/>
        <w:jc w:val="center"/>
        <w:rPr>
          <w:rFonts w:ascii="Times New Roman" w:hAnsi="Times New Roman" w:eastAsia="方正小标宋简体" w:cs="方正小标宋简体"/>
          <w:b w:val="0"/>
        </w:rPr>
      </w:pPr>
      <w:bookmarkStart w:id="3" w:name="_Toc25448"/>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二</w:t>
      </w:r>
      <w:r>
        <w:rPr>
          <w:rFonts w:ascii="Times New Roman" w:hAnsi="Times New Roman" w:eastAsia="方正小标宋简体" w:cs="方正小标宋简体"/>
          <w:b w:val="0"/>
        </w:rPr>
        <w:t xml:space="preserve">部分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表</w:t>
      </w:r>
      <w:bookmarkEnd w:id="3"/>
    </w:p>
    <w:p w14:paraId="751B8E38">
      <w:pPr>
        <w:spacing w:line="600" w:lineRule="exact"/>
        <w:rPr>
          <w:rFonts w:ascii="Times New Roman" w:hAnsi="Times New Roman"/>
        </w:rPr>
      </w:pPr>
    </w:p>
    <w:p w14:paraId="6596119F">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4" w:name="_Toc8089"/>
      <w:r>
        <w:rPr>
          <w:rFonts w:ascii="Times New Roman" w:hAnsi="Times New Roman" w:eastAsia="黑体"/>
          <w:b w:val="0"/>
          <w:sz w:val="30"/>
          <w:szCs w:val="30"/>
        </w:rPr>
        <w:t>一</w:t>
      </w:r>
      <w:r>
        <w:rPr>
          <w:rFonts w:hint="eastAsia" w:ascii="Times New Roman" w:hAnsi="Times New Roman" w:eastAsia="黑体"/>
          <w:b w:val="0"/>
          <w:sz w:val="30"/>
          <w:szCs w:val="30"/>
        </w:rPr>
        <w:t>、</w:t>
      </w:r>
      <w:r>
        <w:rPr>
          <w:rFonts w:ascii="Times New Roman" w:hAnsi="Times New Roman" w:eastAsia="黑体"/>
          <w:b w:val="0"/>
          <w:sz w:val="30"/>
          <w:szCs w:val="30"/>
        </w:rPr>
        <w:t>《</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4"/>
    </w:p>
    <w:p w14:paraId="140F6241">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5" w:name="_Toc29574"/>
      <w:r>
        <w:rPr>
          <w:rFonts w:ascii="Times New Roman" w:hAnsi="Times New Roman" w:eastAsia="黑体"/>
          <w:b w:val="0"/>
          <w:sz w:val="30"/>
          <w:szCs w:val="30"/>
        </w:rPr>
        <w:t>二、《收入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（按功能分类列示）</w:t>
      </w:r>
      <w:r>
        <w:rPr>
          <w:rFonts w:ascii="Times New Roman" w:hAnsi="Times New Roman" w:eastAsia="黑体"/>
          <w:b w:val="0"/>
          <w:sz w:val="30"/>
          <w:szCs w:val="30"/>
        </w:rPr>
        <w:t>》</w:t>
      </w:r>
      <w:bookmarkEnd w:id="5"/>
    </w:p>
    <w:p w14:paraId="5EA3059D">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6" w:name="_Toc1392"/>
      <w:r>
        <w:rPr>
          <w:rFonts w:hint="eastAsia" w:ascii="Times New Roman" w:hAnsi="Times New Roman" w:eastAsia="黑体"/>
          <w:b w:val="0"/>
          <w:sz w:val="30"/>
          <w:szCs w:val="30"/>
        </w:rPr>
        <w:t>三</w:t>
      </w:r>
      <w:r>
        <w:rPr>
          <w:rFonts w:ascii="Times New Roman" w:hAnsi="Times New Roman" w:eastAsia="黑体"/>
          <w:b w:val="0"/>
          <w:sz w:val="30"/>
          <w:szCs w:val="30"/>
        </w:rPr>
        <w:t>、《收入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（按单位列示）</w:t>
      </w:r>
      <w:r>
        <w:rPr>
          <w:rFonts w:ascii="Times New Roman" w:hAnsi="Times New Roman" w:eastAsia="黑体"/>
          <w:b w:val="0"/>
          <w:sz w:val="30"/>
          <w:szCs w:val="30"/>
        </w:rPr>
        <w:t>》</w:t>
      </w:r>
      <w:bookmarkEnd w:id="6"/>
    </w:p>
    <w:p w14:paraId="26FF092B">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7" w:name="_Toc28946"/>
      <w:r>
        <w:rPr>
          <w:rFonts w:hint="eastAsia" w:ascii="Times New Roman" w:hAnsi="Times New Roman" w:eastAsia="黑体"/>
          <w:b w:val="0"/>
          <w:sz w:val="30"/>
          <w:szCs w:val="30"/>
        </w:rPr>
        <w:t>四、</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7"/>
    </w:p>
    <w:p w14:paraId="1CD298C4">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8" w:name="_Toc10939"/>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8"/>
    </w:p>
    <w:p w14:paraId="5579D824">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9" w:name="_Toc9732"/>
      <w:r>
        <w:rPr>
          <w:rFonts w:ascii="Times New Roman" w:hAnsi="Times New Roman" w:eastAsia="黑体"/>
          <w:b w:val="0"/>
          <w:sz w:val="30"/>
          <w:szCs w:val="30"/>
        </w:rPr>
        <w:t>六</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9"/>
    </w:p>
    <w:p w14:paraId="61AA9370">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10" w:name="_Toc8588"/>
      <w:r>
        <w:rPr>
          <w:rFonts w:ascii="Times New Roman" w:hAnsi="Times New Roman" w:eastAsia="黑体"/>
          <w:b w:val="0"/>
          <w:sz w:val="30"/>
          <w:szCs w:val="30"/>
        </w:rPr>
        <w:t>七</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《一般公共预算财政拨款基本支出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0"/>
    </w:p>
    <w:p w14:paraId="1DEC7360">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11" w:name="_Toc29750"/>
      <w:r>
        <w:rPr>
          <w:rFonts w:hint="eastAsia" w:ascii="Times New Roman" w:hAnsi="Times New Roman" w:eastAsia="黑体"/>
          <w:b w:val="0"/>
          <w:sz w:val="30"/>
          <w:szCs w:val="30"/>
        </w:rPr>
        <w:t>八、</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1"/>
    </w:p>
    <w:p w14:paraId="23A3C911">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12" w:name="_Toc17443"/>
      <w:r>
        <w:rPr>
          <w:rFonts w:hint="eastAsia" w:ascii="Times New Roman" w:hAnsi="Times New Roman" w:eastAsia="黑体"/>
          <w:b w:val="0"/>
          <w:sz w:val="30"/>
          <w:szCs w:val="30"/>
        </w:rPr>
        <w:t>九、</w:t>
      </w:r>
      <w:r>
        <w:rPr>
          <w:rFonts w:ascii="Times New Roman" w:hAnsi="Times New Roman" w:eastAsia="黑体"/>
          <w:b w:val="0"/>
          <w:sz w:val="30"/>
          <w:szCs w:val="30"/>
        </w:rPr>
        <w:t>《国有资本经营预算财政拨款</w:t>
      </w:r>
      <w:r>
        <w:rPr>
          <w:rFonts w:hint="eastAsia" w:ascii="Times New Roman" w:hAnsi="Times New Roman" w:eastAsia="黑体"/>
          <w:b w:val="0"/>
          <w:sz w:val="30"/>
          <w:szCs w:val="30"/>
        </w:rPr>
        <w:t>收入支出决算</w:t>
      </w:r>
      <w:r>
        <w:rPr>
          <w:rFonts w:ascii="Times New Roman" w:hAnsi="Times New Roman" w:eastAsia="黑体"/>
          <w:b w:val="0"/>
          <w:sz w:val="30"/>
          <w:szCs w:val="30"/>
        </w:rPr>
        <w:t>表》</w:t>
      </w:r>
      <w:bookmarkEnd w:id="12"/>
    </w:p>
    <w:p w14:paraId="59A12EC0">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13" w:name="_Toc30096"/>
      <w:r>
        <w:rPr>
          <w:rFonts w:hint="eastAsia" w:ascii="Times New Roman" w:hAnsi="Times New Roman" w:eastAsia="黑体"/>
          <w:b w:val="0"/>
          <w:sz w:val="30"/>
          <w:szCs w:val="30"/>
        </w:rPr>
        <w:t>十、</w:t>
      </w:r>
      <w:r>
        <w:rPr>
          <w:rFonts w:ascii="Times New Roman" w:hAnsi="Times New Roman" w:eastAsia="黑体"/>
          <w:b w:val="0"/>
          <w:sz w:val="30"/>
          <w:szCs w:val="30"/>
        </w:rPr>
        <w:t>《财政拨款“三公”经费支出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3"/>
    </w:p>
    <w:p w14:paraId="4164BB18">
      <w:pPr>
        <w:pStyle w:val="3"/>
        <w:keepNext/>
        <w:keepLines/>
        <w:pageBreakBefore w:val="0"/>
        <w:widowControl w:val="0"/>
        <w:kinsoku/>
        <w:wordWrap/>
        <w:overflowPunct/>
        <w:topLinePunct w:val="0"/>
        <w:autoSpaceDE/>
        <w:autoSpaceDN/>
        <w:bidi w:val="0"/>
        <w:adjustRightInd w:val="0"/>
        <w:snapToGrid/>
        <w:spacing w:before="0" w:after="0" w:line="780" w:lineRule="exact"/>
        <w:ind w:firstLine="600" w:firstLineChars="200"/>
        <w:textAlignment w:val="baseline"/>
        <w:rPr>
          <w:rFonts w:ascii="Times New Roman" w:hAnsi="Times New Roman" w:eastAsia="黑体"/>
          <w:b w:val="0"/>
          <w:sz w:val="30"/>
          <w:szCs w:val="30"/>
        </w:rPr>
      </w:pPr>
      <w:bookmarkStart w:id="14" w:name="_Toc21214"/>
      <w:r>
        <w:rPr>
          <w:rFonts w:ascii="Times New Roman" w:hAnsi="Times New Roman" w:eastAsia="黑体"/>
          <w:b w:val="0"/>
          <w:sz w:val="30"/>
          <w:szCs w:val="30"/>
        </w:rPr>
        <w:t>十</w:t>
      </w:r>
      <w:r>
        <w:rPr>
          <w:rFonts w:hint="eastAsia" w:ascii="Times New Roman" w:hAnsi="Times New Roman" w:eastAsia="黑体"/>
          <w:b w:val="0"/>
          <w:sz w:val="30"/>
          <w:szCs w:val="30"/>
        </w:rPr>
        <w:t>一、</w:t>
      </w:r>
      <w:r>
        <w:rPr>
          <w:rFonts w:ascii="Times New Roman" w:hAnsi="Times New Roman" w:eastAsia="黑体"/>
          <w:b w:val="0"/>
          <w:sz w:val="30"/>
          <w:szCs w:val="30"/>
        </w:rPr>
        <w:t>《项目支出决算表》</w:t>
      </w:r>
      <w:bookmarkEnd w:id="14"/>
    </w:p>
    <w:p w14:paraId="3D7657C8">
      <w:pPr>
        <w:spacing w:line="800" w:lineRule="exact"/>
        <w:ind w:left="600" w:hanging="600" w:hangingChars="200"/>
        <w:rPr>
          <w:rFonts w:hint="eastAsia" w:ascii="Times New Roman" w:hAnsi="Times New Roman" w:eastAsia="楷体"/>
          <w:sz w:val="30"/>
          <w:szCs w:val="30"/>
        </w:rPr>
      </w:pPr>
      <w:r>
        <w:rPr>
          <w:rFonts w:hint="eastAsia" w:ascii="Times New Roman" w:hAnsi="Times New Roman" w:eastAsia="楷体"/>
          <w:sz w:val="30"/>
          <w:szCs w:val="30"/>
        </w:rPr>
        <w:t>注：以上决算公开表均作为附表，附于决算公开说明文档后。</w:t>
      </w:r>
    </w:p>
    <w:p w14:paraId="72E3DC75">
      <w:pPr>
        <w:pStyle w:val="3"/>
        <w:spacing w:before="0" w:after="0" w:line="800" w:lineRule="exact"/>
        <w:ind w:firstLine="600" w:firstLineChars="200"/>
        <w:rPr>
          <w:rFonts w:ascii="Times New Roman" w:hAnsi="Times New Roman" w:eastAsia="黑体"/>
          <w:b w:val="0"/>
          <w:sz w:val="30"/>
          <w:szCs w:val="30"/>
        </w:rPr>
      </w:pPr>
      <w:bookmarkStart w:id="15" w:name="_Toc9893"/>
      <w:r>
        <w:rPr>
          <w:rFonts w:hint="eastAsia" w:ascii="Times New Roman" w:hAnsi="Times New Roman" w:eastAsia="黑体"/>
          <w:b w:val="0"/>
          <w:sz w:val="30"/>
          <w:szCs w:val="30"/>
        </w:rPr>
        <w:t>十二、关于空表的说明</w:t>
      </w:r>
      <w:bookmarkEnd w:id="15"/>
    </w:p>
    <w:p w14:paraId="4A1193E5">
      <w:pPr>
        <w:spacing w:line="600" w:lineRule="exact"/>
        <w:ind w:firstLine="600" w:firstLineChars="200"/>
        <w:jc w:val="both"/>
        <w:rPr>
          <w:rFonts w:ascii="Times New Roman" w:hAnsi="Times New Roman" w:eastAsia="仿宋_GB2312"/>
          <w:sz w:val="30"/>
          <w:szCs w:val="30"/>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仿宋_GB2312"/>
          <w:sz w:val="30"/>
          <w:szCs w:val="30"/>
        </w:rPr>
        <w:t>1.中国共产党天津市津南区纪律检查委员会2024年度政府性基金预算财政拨款收入支出决算表为空表。</w:t>
      </w:r>
      <w:r>
        <w:rPr>
          <w:rFonts w:hint="eastAsia" w:ascii="Times New Roman" w:hAnsi="Times New Roman" w:eastAsia="仿宋_GB2312"/>
          <w:sz w:val="30"/>
          <w:szCs w:val="30"/>
        </w:rPr>
        <w:br w:type="textWrapping"/>
      </w:r>
      <w:r>
        <w:rPr>
          <w:rFonts w:hint="eastAsia" w:ascii="Times New Roman" w:hAnsi="Times New Roman" w:eastAsia="仿宋_GB2312"/>
          <w:sz w:val="30"/>
          <w:szCs w:val="30"/>
        </w:rPr>
        <w:t>　　2.中国共产党天津市津南区纪律检查委员会2024年度国有资本经营预算财政拨款收入支出决算表为空表。</w:t>
      </w:r>
    </w:p>
    <w:p w14:paraId="078ED8AC">
      <w:pPr>
        <w:spacing w:line="600" w:lineRule="exact"/>
        <w:rPr>
          <w:rFonts w:ascii="Times New Roman" w:hAnsi="Times New Roman" w:eastAsia="仿宋_GB2312"/>
          <w:sz w:val="30"/>
          <w:szCs w:val="30"/>
        </w:rPr>
      </w:pPr>
    </w:p>
    <w:p w14:paraId="00A77972">
      <w:pPr>
        <w:pStyle w:val="2"/>
        <w:spacing w:before="0" w:after="0" w:line="600" w:lineRule="exact"/>
        <w:jc w:val="center"/>
        <w:rPr>
          <w:rFonts w:ascii="Times New Roman" w:hAnsi="Times New Roman" w:eastAsia="方正小标宋简体" w:cs="方正小标宋简体"/>
          <w:b w:val="0"/>
        </w:rPr>
      </w:pPr>
      <w:bookmarkStart w:id="16" w:name="_Toc26351"/>
      <w:r>
        <w:rPr>
          <w:rFonts w:ascii="Times New Roman" w:hAnsi="Times New Roman" w:eastAsia="方正小标宋简体" w:cs="方正小标宋简体"/>
          <w:b w:val="0"/>
        </w:rPr>
        <w:t>第</w:t>
      </w:r>
      <w:r>
        <w:rPr>
          <w:rFonts w:hint="eastAsia" w:ascii="Times New Roman" w:hAnsi="Times New Roman" w:eastAsia="方正小标宋简体" w:cs="方正小标宋简体"/>
          <w:b w:val="0"/>
        </w:rPr>
        <w:t>三</w:t>
      </w:r>
      <w:r>
        <w:rPr>
          <w:rFonts w:ascii="Times New Roman" w:hAnsi="Times New Roman" w:eastAsia="方正小标宋简体" w:cs="方正小标宋简体"/>
          <w:b w:val="0"/>
        </w:rPr>
        <w:t xml:space="preserve">部分  </w:t>
      </w:r>
      <w:r>
        <w:rPr>
          <w:rFonts w:hint="eastAsia" w:ascii="Times New Roman" w:hAnsi="Times New Roman" w:eastAsia="方正小标宋简体" w:cs="方正小标宋简体"/>
          <w:b w:val="0"/>
        </w:rPr>
        <w:t>2024</w:t>
      </w:r>
      <w:r>
        <w:rPr>
          <w:rFonts w:ascii="Times New Roman" w:hAnsi="Times New Roman" w:eastAsia="方正小标宋简体" w:cs="方正小标宋简体"/>
          <w:b w:val="0"/>
        </w:rPr>
        <w:t>年度部门决算</w:t>
      </w:r>
      <w:r>
        <w:rPr>
          <w:rFonts w:hint="eastAsia" w:ascii="Times New Roman" w:hAnsi="Times New Roman" w:eastAsia="方正小标宋简体" w:cs="方正小标宋简体"/>
          <w:b w:val="0"/>
        </w:rPr>
        <w:t>情况</w:t>
      </w:r>
      <w:r>
        <w:rPr>
          <w:rFonts w:ascii="Times New Roman" w:hAnsi="Times New Roman" w:eastAsia="方正小标宋简体" w:cs="方正小标宋简体"/>
          <w:b w:val="0"/>
        </w:rPr>
        <w:t>说明</w:t>
      </w:r>
      <w:bookmarkEnd w:id="16"/>
    </w:p>
    <w:p w14:paraId="32A4A158">
      <w:pPr>
        <w:spacing w:line="600" w:lineRule="exact"/>
        <w:ind w:firstLine="600" w:firstLineChars="200"/>
        <w:rPr>
          <w:rFonts w:ascii="Times New Roman" w:hAnsi="Times New Roman" w:eastAsia="黑体"/>
          <w:sz w:val="30"/>
          <w:szCs w:val="30"/>
        </w:rPr>
      </w:pPr>
    </w:p>
    <w:p w14:paraId="28583877">
      <w:pPr>
        <w:pStyle w:val="3"/>
        <w:spacing w:before="0" w:after="0" w:line="600" w:lineRule="exact"/>
        <w:ind w:firstLine="600" w:firstLineChars="200"/>
        <w:rPr>
          <w:rFonts w:ascii="Times New Roman" w:hAnsi="Times New Roman" w:eastAsia="黑体"/>
          <w:b w:val="0"/>
          <w:sz w:val="30"/>
          <w:szCs w:val="30"/>
        </w:rPr>
      </w:pPr>
      <w:bookmarkStart w:id="17" w:name="_Toc14113"/>
      <w:r>
        <w:rPr>
          <w:rFonts w:hint="eastAsia" w:ascii="Times New Roman" w:hAnsi="Times New Roman" w:eastAsia="黑体"/>
          <w:b w:val="0"/>
          <w:sz w:val="30"/>
          <w:szCs w:val="30"/>
        </w:rPr>
        <w:t>一、收入支出决算总体情况说明</w:t>
      </w:r>
      <w:bookmarkEnd w:id="17"/>
    </w:p>
    <w:p w14:paraId="290C14A1">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收入、支出决算总计35,666,003.16元。与2023年度相比，收、支总计各增加1,086,891.51元，增长3.1%，主要原因是2024年我委晋升职务职级32人次，试用期转正2人次，导致2024年人员类收入增加。</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收入包括：一般公共预算财政拨款收入35,666,003.16元。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支出包括：一般公共服务支出（类）支出28,402,314.89元、社会保障和就业支出（类）支出3,468,036.18元、卫生健康支出（类）支出1,687,655.09元、住房保障支出（类）支出2,107,997元。</w:t>
      </w:r>
    </w:p>
    <w:p w14:paraId="0BF4DBC2">
      <w:pPr>
        <w:pStyle w:val="3"/>
        <w:spacing w:before="0" w:after="0" w:line="600" w:lineRule="exact"/>
        <w:ind w:firstLine="600" w:firstLineChars="200"/>
        <w:rPr>
          <w:rFonts w:ascii="Times New Roman" w:hAnsi="Times New Roman" w:eastAsia="黑体" w:cs="仿宋_GB2312"/>
          <w:b w:val="0"/>
          <w:sz w:val="30"/>
          <w:szCs w:val="30"/>
        </w:rPr>
      </w:pPr>
      <w:bookmarkStart w:id="18" w:name="_Toc1931"/>
      <w:r>
        <w:rPr>
          <w:rFonts w:hint="eastAsia" w:ascii="Times New Roman" w:hAnsi="Times New Roman" w:eastAsia="黑体" w:cs="仿宋_GB2312"/>
          <w:b w:val="0"/>
          <w:sz w:val="30"/>
          <w:szCs w:val="30"/>
        </w:rPr>
        <w:t>二、收入决算情况说明</w:t>
      </w:r>
      <w:bookmarkEnd w:id="18"/>
    </w:p>
    <w:p w14:paraId="26D18552">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本年收入合计35,666,003.16元。与2023年度相比增加1,086,891.51元，主要原因是2024年我委晋升职务职级32人次，试用期转正2人次，导致2024年人员类收入增加。其中：一般公共预算财政拨款收入35,666,003.16元，占100%。</w:t>
      </w:r>
    </w:p>
    <w:p w14:paraId="017970F8">
      <w:pPr>
        <w:pStyle w:val="3"/>
        <w:spacing w:before="0" w:after="0" w:line="600" w:lineRule="exact"/>
        <w:ind w:firstLine="600" w:firstLineChars="200"/>
        <w:rPr>
          <w:rFonts w:ascii="Times New Roman" w:hAnsi="Times New Roman" w:eastAsia="黑体" w:cs="仿宋_GB2312"/>
          <w:b w:val="0"/>
          <w:sz w:val="30"/>
          <w:szCs w:val="30"/>
        </w:rPr>
      </w:pPr>
      <w:bookmarkStart w:id="19" w:name="_Toc14007"/>
      <w:r>
        <w:rPr>
          <w:rFonts w:hint="eastAsia" w:ascii="Times New Roman" w:hAnsi="Times New Roman" w:eastAsia="黑体" w:cs="仿宋_GB2312"/>
          <w:b w:val="0"/>
          <w:sz w:val="30"/>
          <w:szCs w:val="30"/>
        </w:rPr>
        <w:t>三、</w:t>
      </w:r>
      <w:r>
        <w:rPr>
          <w:rFonts w:ascii="Times New Roman" w:hAnsi="Times New Roman" w:eastAsia="黑体" w:cs="仿宋_GB2312"/>
          <w:b w:val="0"/>
          <w:sz w:val="30"/>
          <w:szCs w:val="30"/>
        </w:rPr>
        <w:t>支出</w:t>
      </w:r>
      <w:r>
        <w:rPr>
          <w:rFonts w:hint="eastAsia" w:ascii="Times New Roman" w:hAnsi="Times New Roman" w:eastAsia="黑体" w:cs="仿宋_GB2312"/>
          <w:b w:val="0"/>
          <w:sz w:val="30"/>
          <w:szCs w:val="30"/>
        </w:rPr>
        <w:t>决算</w:t>
      </w:r>
      <w:r>
        <w:rPr>
          <w:rFonts w:ascii="Times New Roman" w:hAnsi="Times New Roman" w:eastAsia="黑体" w:cs="仿宋_GB2312"/>
          <w:b w:val="0"/>
          <w:sz w:val="30"/>
          <w:szCs w:val="30"/>
        </w:rPr>
        <w:t>情况</w:t>
      </w:r>
      <w:r>
        <w:rPr>
          <w:rFonts w:hint="eastAsia" w:ascii="Times New Roman" w:hAnsi="Times New Roman" w:eastAsia="黑体" w:cs="仿宋_GB2312"/>
          <w:b w:val="0"/>
          <w:sz w:val="30"/>
          <w:szCs w:val="30"/>
        </w:rPr>
        <w:t>说明</w:t>
      </w:r>
      <w:bookmarkEnd w:id="19"/>
    </w:p>
    <w:p w14:paraId="679AF267">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本年支出合计35,666,003.16元。与2023年度相比增加1,086,891.51元，主要原因是2024年我委晋升职务职级32人次，试用期转正2人次，导致2024年人员类支出增加。其中：基本支出33,105,414.57元，占92.8%；项目支出2,560,588.59元，占7.2%。</w:t>
      </w:r>
    </w:p>
    <w:p w14:paraId="4CBB4B1B">
      <w:pPr>
        <w:pStyle w:val="3"/>
        <w:spacing w:before="0" w:after="0" w:line="600" w:lineRule="exact"/>
        <w:ind w:firstLine="600" w:firstLineChars="200"/>
        <w:rPr>
          <w:rFonts w:ascii="Times New Roman" w:hAnsi="Times New Roman" w:eastAsia="黑体"/>
          <w:b w:val="0"/>
          <w:sz w:val="30"/>
          <w:szCs w:val="30"/>
        </w:rPr>
      </w:pPr>
      <w:bookmarkStart w:id="20" w:name="_Toc23974"/>
      <w:r>
        <w:rPr>
          <w:rFonts w:hint="eastAsia" w:ascii="Times New Roman" w:hAnsi="Times New Roman" w:eastAsia="黑体"/>
          <w:b w:val="0"/>
          <w:sz w:val="30"/>
          <w:szCs w:val="30"/>
        </w:rPr>
        <w:t>四、财政拨款收支决算总体情况说明</w:t>
      </w:r>
      <w:bookmarkEnd w:id="20"/>
    </w:p>
    <w:p w14:paraId="77DA1FBD">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财政拨款收入、支出决算总计35,666,003.16元。与2023年度相比，财政拨款收、支总计各增加1,086,891.51元，增长3.1%，主要原因是2024年我委晋升职务职级32人次，试用期转正2人次，导致2024年人员类支出增加。</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收入包括：一般公共预算财政拨款收入35,666,003.16元。</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支出包括：一般公共服务支出（类）支出28,402,314.89元、社会保障和就业支出（类）支出3,468,036.18元、卫生健康支出（类）支出1,687,655.09元、住房保障支出（类）支出2,107,997元。</w:t>
      </w:r>
    </w:p>
    <w:p w14:paraId="56CC0E52">
      <w:pPr>
        <w:pStyle w:val="3"/>
        <w:spacing w:before="0" w:after="0" w:line="600" w:lineRule="exact"/>
        <w:ind w:firstLine="600" w:firstLineChars="200"/>
        <w:rPr>
          <w:rFonts w:ascii="Times New Roman" w:hAnsi="Times New Roman" w:eastAsia="黑体"/>
          <w:b w:val="0"/>
          <w:sz w:val="30"/>
          <w:szCs w:val="30"/>
        </w:rPr>
      </w:pPr>
      <w:bookmarkStart w:id="21" w:name="_Toc19057"/>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一般公共预算财政拨款支出决算情况</w:t>
      </w:r>
      <w:r>
        <w:rPr>
          <w:rFonts w:hint="eastAsia" w:ascii="Times New Roman" w:hAnsi="Times New Roman" w:eastAsia="黑体"/>
          <w:b w:val="0"/>
          <w:sz w:val="30"/>
          <w:szCs w:val="30"/>
        </w:rPr>
        <w:t>说明</w:t>
      </w:r>
      <w:bookmarkEnd w:id="21"/>
    </w:p>
    <w:p w14:paraId="6BBECF20">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14:paraId="7721FCEC">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部门决算一般公共预算财政拨款支出合计35,666,003.16元，占本年支出合计的100%。与2023年度相比，一般公共预算财政拨款支出增加1,086,891.51元，增长3.1%，主要原因是2024年我委晋升职务职级32人次，试用期转正2人次，导致2024年人员类支出增加。</w:t>
      </w:r>
    </w:p>
    <w:p w14:paraId="3097784D">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09BD0918">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2024年度一般公共预算财政拨款支出35,666,003.16元，主要用于以下方面：</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一般公共服务支出（类）支出28,402,314.89元，占79.6%；</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社会保障和就业支出（类）支出3,468,036.18元，占9.7%；</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卫生健康支出（类）支出1,687,655.09元，占4.7%；</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住房保障支出（类）支出2,107,997元，占5.9%。</w:t>
      </w:r>
    </w:p>
    <w:p w14:paraId="587470A6">
      <w:pPr>
        <w:numPr>
          <w:ilvl w:val="0"/>
          <w:numId w:val="1"/>
        </w:numPr>
        <w:spacing w:line="600" w:lineRule="exact"/>
        <w:ind w:firstLine="602" w:firstLineChars="200"/>
        <w:rPr>
          <w:rFonts w:ascii="Times New Roman" w:hAnsi="Times New Roman" w:eastAsia="楷体" w:cs="仿宋_GB2312"/>
          <w:b/>
          <w:sz w:val="30"/>
          <w:szCs w:val="30"/>
        </w:rPr>
      </w:pPr>
      <w:r>
        <w:rPr>
          <w:rFonts w:ascii="Times New Roman" w:hAnsi="Times New Roman" w:eastAsia="楷体" w:cs="仿宋_GB2312"/>
          <w:b/>
          <w:sz w:val="30"/>
          <w:szCs w:val="30"/>
        </w:rPr>
        <w:t>具体情况</w:t>
      </w:r>
    </w:p>
    <w:p w14:paraId="01043A32">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2024年度一般公共预算财政拨款支出年初预算为32,756,282.93元，支出决算为35,666,003.16元，完成年初预算的108.9%。其中：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1.一般公共服务支出（类）纪检监察事务（款）行政运行（项）年初预算为23,225,824.25元，支出决算为26,046,960.07元，完成年初预算的112.2%，决算数大于年初预算数的主要原因是2024年我委晋升职务职级32人次，试用期转正2人次，导致2024年人员类支出增加。</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2.一般公共服务支出（类）纪检监察事务（款）一般行政管理事务（项）年初预算为0元，支出决算为292,000元，完成年初预算的0%，决算数大于年初预算数的主要原因是2024年中追加中央转移支付资金预算。</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3.一般公共服务支出（类）纪检监察事务（款）其他纪检监察事务支出（项）年初预算为2,316,000元，支出决算为2,063,354.82元，完成年初预算的89.1%，决算数小于年初预算数的主要原因是厉行节约，认真落实“党政机关要坚持过紧日子”的要求，规范业务费管理和执行。</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4.社会保障和就业支出（类）行政事业单位养老支出（款）机关事业单位基本养老保险缴费支出（项）年初预算为2,245,058.28元，支出决算为2,330,114.3元，完成年初预算的103.8%，决算数大于年初预算数的主要原因是据实结算，年中追加人员经费预算。</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5.社会保障和就业支出（类）行政事业单位养老支出（款）机关事业单位职业年金缴费支出（项）年初预算为1,122,527.64元，支出决算为1,137,921.88元，完成年初预算的101.4%，决算数大于年初预算数的主要原因是据实结算，年中追加人员经费预算。</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6.卫生健康支出（类）行政事业单位医疗（款）行政单位医疗（项）年初预算为1,473,320.4元，支出决算为1,406,383.87元，完成年初预算的95.5%，决算数小于年初预算数的主要原因是按实际支出执行，预算有结余。</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7.卫生健康支出（类）行政事业单位医疗（款）公务员医疗补助（项）年初预算为280,632.36元，支出决算为281,271.22元，完成年初预算的100.2%，决算数大于年初预算数的主要原因是据实结算，年中追加人员经费预算。</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8.住房保障支出（类）住房改革支出（款）住房公积金（项）年初预算为2,092,920元，支出决算为2,107,997元，完成年初预算的100.7%，决算数大于年初预算数的主要原因是据实结算，年中追加人员经费预算。</w:t>
      </w:r>
    </w:p>
    <w:p w14:paraId="4F3B427D">
      <w:pPr>
        <w:pStyle w:val="3"/>
        <w:spacing w:before="0" w:after="0" w:line="600" w:lineRule="exact"/>
        <w:ind w:firstLine="600" w:firstLineChars="200"/>
        <w:rPr>
          <w:rFonts w:ascii="Times New Roman" w:hAnsi="Times New Roman" w:eastAsia="黑体"/>
          <w:b w:val="0"/>
          <w:sz w:val="30"/>
          <w:szCs w:val="30"/>
        </w:rPr>
      </w:pPr>
      <w:bookmarkStart w:id="22" w:name="_Toc8826"/>
      <w:r>
        <w:rPr>
          <w:rFonts w:ascii="Times New Roman" w:hAnsi="Times New Roman" w:eastAsia="黑体"/>
          <w:b w:val="0"/>
          <w:sz w:val="30"/>
          <w:szCs w:val="30"/>
        </w:rPr>
        <w:t>六、一般公共预算财政拨款基本支出决算情况</w:t>
      </w:r>
      <w:r>
        <w:rPr>
          <w:rFonts w:hint="eastAsia" w:ascii="Times New Roman" w:hAnsi="Times New Roman" w:eastAsia="黑体"/>
          <w:b w:val="0"/>
          <w:sz w:val="30"/>
          <w:szCs w:val="30"/>
        </w:rPr>
        <w:t>说明</w:t>
      </w:r>
      <w:bookmarkEnd w:id="22"/>
    </w:p>
    <w:p w14:paraId="772DA3C4">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部门决算一般公共预算财政拨款基本支出合计33,105,414.57元，与2023年度相比增加877,770.76元，主要原因是2024年我委晋升职务职级32人次，试用期转正2人次，导致2024年人员类支出增加。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人员经费31,154,462.49元，主要包括基本工资、津贴补贴、奖金、机关事业单位养老保险缴费、职业年金缴费、职工基本医疗保险缴费、公务员医疗补助缴费、其他社会保障缴费、住房公积金、其他工资福利支出、退休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公用经费1,950,952.08元，主要包括办公费、手续费、邮电费、差旅费、维修（护）费、培训费、劳务费、工会经费、福利费、公务用车运行维护费、其他交通费用、其他商品和服务支出、办公设备购置。</w:t>
      </w:r>
    </w:p>
    <w:p w14:paraId="277BB04E">
      <w:pPr>
        <w:pStyle w:val="3"/>
        <w:spacing w:before="0" w:after="0" w:line="600" w:lineRule="exact"/>
        <w:ind w:firstLine="600" w:firstLineChars="200"/>
        <w:rPr>
          <w:rFonts w:ascii="Times New Roman" w:hAnsi="Times New Roman" w:eastAsia="楷体" w:cs="仿宋_GB2312"/>
          <w:b w:val="0"/>
          <w:sz w:val="30"/>
          <w:szCs w:val="30"/>
        </w:rPr>
      </w:pPr>
      <w:bookmarkStart w:id="23" w:name="_Toc13712"/>
      <w:r>
        <w:rPr>
          <w:rFonts w:hint="eastAsia" w:ascii="Times New Roman" w:hAnsi="Times New Roman" w:eastAsia="黑体"/>
          <w:b w:val="0"/>
          <w:sz w:val="30"/>
          <w:szCs w:val="30"/>
        </w:rPr>
        <w:t>七</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收支决算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3"/>
    </w:p>
    <w:p w14:paraId="1AA68974">
      <w:pPr>
        <w:keepNext w:val="0"/>
        <w:keepLines w:val="0"/>
        <w:pageBreakBefore w:val="0"/>
        <w:widowControl w:val="0"/>
        <w:kinsoku/>
        <w:wordWrap/>
        <w:overflowPunct/>
        <w:topLinePunct w:val="0"/>
        <w:autoSpaceDE/>
        <w:autoSpaceDN/>
        <w:bidi w:val="0"/>
        <w:adjustRightInd w:val="0"/>
        <w:snapToGrid/>
        <w:spacing w:line="600" w:lineRule="exact"/>
        <w:ind w:left="0" w:leftChars="0" w:firstLine="602" w:firstLineChars="200"/>
        <w:textAlignment w:val="baseline"/>
        <w:rPr>
          <w:rFonts w:ascii="Times New Roman" w:hAnsi="Times New Roman" w:eastAsia="楷体" w:cs="仿宋_GB2312"/>
          <w:b/>
          <w:sz w:val="30"/>
          <w:szCs w:val="30"/>
        </w:rPr>
      </w:pPr>
      <w:r>
        <w:rPr>
          <w:rFonts w:hint="eastAsia" w:ascii="Times New Roman" w:hAnsi="Times New Roman" w:eastAsia="楷体" w:cs="仿宋_GB2312"/>
          <w:b/>
          <w:sz w:val="30"/>
          <w:szCs w:val="30"/>
        </w:rPr>
        <w:t>（一）总体情况</w:t>
      </w:r>
    </w:p>
    <w:p w14:paraId="5E57A815">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中国共产党天津市津南区纪律检查委员会2024年度无政府性基金预算财政拨款收入、支出和结转结余。</w:t>
      </w:r>
    </w:p>
    <w:p w14:paraId="1BE5B6FA">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3397A17B">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395F290C">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14:paraId="698C7C76">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58F0F6AE">
      <w:pPr>
        <w:pStyle w:val="3"/>
        <w:spacing w:before="0" w:after="0" w:line="600" w:lineRule="exact"/>
        <w:ind w:firstLine="600" w:firstLineChars="200"/>
        <w:rPr>
          <w:rFonts w:ascii="Times New Roman" w:hAnsi="Times New Roman" w:eastAsia="黑体"/>
          <w:b w:val="0"/>
          <w:sz w:val="30"/>
          <w:szCs w:val="30"/>
        </w:rPr>
      </w:pPr>
      <w:bookmarkStart w:id="24" w:name="_Toc1902"/>
      <w:r>
        <w:rPr>
          <w:rFonts w:hint="eastAsia" w:ascii="Times New Roman" w:hAnsi="Times New Roman" w:eastAsia="黑体"/>
          <w:b w:val="0"/>
          <w:sz w:val="30"/>
          <w:szCs w:val="30"/>
        </w:rPr>
        <w:t>八、国有资本经营预算财政拨款收支决算情况</w:t>
      </w:r>
      <w:r>
        <w:rPr>
          <w:rFonts w:hint="eastAsia" w:ascii="Times New Roman" w:hAnsi="Times New Roman" w:eastAsia="黑体"/>
          <w:b w:val="0"/>
          <w:bCs w:val="0"/>
          <w:sz w:val="30"/>
          <w:szCs w:val="30"/>
        </w:rPr>
        <w:t>说明</w:t>
      </w:r>
      <w:bookmarkEnd w:id="24"/>
    </w:p>
    <w:p w14:paraId="481D8505">
      <w:pPr>
        <w:spacing w:line="600" w:lineRule="exact"/>
        <w:ind w:firstLine="602" w:firstLineChars="200"/>
        <w:rPr>
          <w:rFonts w:ascii="Times New Roman" w:hAnsi="Times New Roman" w:eastAsia="仿宋_GB2312"/>
          <w:sz w:val="30"/>
          <w:szCs w:val="30"/>
        </w:rPr>
      </w:pPr>
      <w:r>
        <w:rPr>
          <w:rFonts w:hint="eastAsia" w:ascii="Times New Roman" w:hAnsi="Times New Roman" w:eastAsia="楷体" w:cs="仿宋_GB2312"/>
          <w:b/>
          <w:sz w:val="30"/>
          <w:szCs w:val="30"/>
        </w:rPr>
        <w:t>（一）总体情况</w:t>
      </w:r>
    </w:p>
    <w:p w14:paraId="28FB0420">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中国共产党天津市津南区纪律检查委员会2024年度无国有资本经营预算财政拨款收入、支出和结转结余。</w:t>
      </w:r>
    </w:p>
    <w:p w14:paraId="4A774B80">
      <w:pPr>
        <w:spacing w:line="600" w:lineRule="exact"/>
        <w:ind w:firstLine="602" w:firstLineChars="200"/>
        <w:rPr>
          <w:rFonts w:ascii="Times New Roman" w:hAnsi="Times New Roman" w:eastAsia="楷体" w:cs="仿宋_GB2312"/>
          <w:b/>
          <w:sz w:val="30"/>
          <w:szCs w:val="30"/>
        </w:rPr>
      </w:pPr>
      <w:r>
        <w:rPr>
          <w:rFonts w:hint="eastAsia" w:ascii="Times New Roman" w:hAnsi="Times New Roman" w:eastAsia="楷体" w:cs="仿宋_GB2312"/>
          <w:b/>
          <w:sz w:val="30"/>
          <w:szCs w:val="30"/>
        </w:rPr>
        <w:t>（二）支出结构情况</w:t>
      </w:r>
    </w:p>
    <w:p w14:paraId="7072D43C">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3788F0CC">
      <w:pPr>
        <w:spacing w:line="600" w:lineRule="exact"/>
        <w:rPr>
          <w:rFonts w:ascii="Times New Roman" w:hAnsi="Times New Roman" w:eastAsia="楷体" w:cs="仿宋_GB2312"/>
          <w:b/>
          <w:sz w:val="30"/>
          <w:szCs w:val="30"/>
        </w:rPr>
      </w:pPr>
      <w:r>
        <w:rPr>
          <w:rFonts w:hint="eastAsia" w:ascii="Times New Roman" w:hAnsi="Times New Roman" w:eastAsia="楷体" w:cs="仿宋_GB2312"/>
          <w:b/>
          <w:sz w:val="30"/>
          <w:szCs w:val="30"/>
        </w:rPr>
        <w:t xml:space="preserve">    （三）</w:t>
      </w:r>
      <w:r>
        <w:rPr>
          <w:rFonts w:ascii="Times New Roman" w:hAnsi="Times New Roman" w:eastAsia="楷体" w:cs="仿宋_GB2312"/>
          <w:b/>
          <w:sz w:val="30"/>
          <w:szCs w:val="30"/>
        </w:rPr>
        <w:t>具体情况</w:t>
      </w:r>
    </w:p>
    <w:p w14:paraId="1587B580">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不涉及此项内容。</w:t>
      </w:r>
    </w:p>
    <w:p w14:paraId="03B11328">
      <w:pPr>
        <w:pStyle w:val="3"/>
        <w:spacing w:before="0" w:after="0" w:line="600" w:lineRule="exact"/>
        <w:ind w:firstLine="600" w:firstLineChars="200"/>
        <w:rPr>
          <w:rFonts w:ascii="Times New Roman" w:hAnsi="Times New Roman" w:eastAsia="黑体"/>
          <w:b w:val="0"/>
          <w:sz w:val="30"/>
          <w:szCs w:val="30"/>
        </w:rPr>
      </w:pPr>
      <w:bookmarkStart w:id="25" w:name="_Toc6751"/>
      <w:r>
        <w:rPr>
          <w:rFonts w:hint="eastAsia" w:ascii="Times New Roman" w:hAnsi="Times New Roman" w:eastAsia="黑体"/>
          <w:b w:val="0"/>
          <w:sz w:val="30"/>
          <w:szCs w:val="30"/>
        </w:rPr>
        <w:t>九、</w:t>
      </w:r>
      <w:r>
        <w:rPr>
          <w:rFonts w:ascii="Times New Roman" w:hAnsi="Times New Roman" w:eastAsia="黑体"/>
          <w:b w:val="0"/>
          <w:sz w:val="30"/>
          <w:szCs w:val="30"/>
        </w:rPr>
        <w:t>财政拨款“三公”经费</w:t>
      </w:r>
      <w:r>
        <w:rPr>
          <w:rFonts w:hint="eastAsia" w:ascii="Times New Roman" w:hAnsi="Times New Roman" w:eastAsia="黑体"/>
          <w:b w:val="0"/>
          <w:sz w:val="30"/>
          <w:szCs w:val="30"/>
        </w:rPr>
        <w:t>支出决算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5"/>
    </w:p>
    <w:p w14:paraId="64A54EB8">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（一）总体情况</w:t>
      </w:r>
    </w:p>
    <w:p w14:paraId="3EEE04E7">
      <w:pPr>
        <w:spacing w:line="60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cs="仿宋_GB2312"/>
          <w:sz w:val="30"/>
          <w:szCs w:val="30"/>
        </w:rPr>
        <w:t>2024年财政拨款“三公”经费预算109,396.36元，支出决算109,396.36元（去年同期89,000元），支出决算与2024年预算相比持平，完成预算的100%；支出决算较上年增加20,396.36元，增长22.9%。决算数与预算数相比持平的主要原因是年内未执行完的公务用车购置及运行维护费预算在年末核减。决算数较上年增加的主要原因是公务用车车龄较久，维修费增加以及纪委监委办案力度加大，业务量增加。</w:t>
      </w:r>
    </w:p>
    <w:p w14:paraId="1B6DA850">
      <w:pPr>
        <w:spacing w:line="600" w:lineRule="exact"/>
        <w:ind w:firstLine="602" w:firstLineChars="200"/>
        <w:rPr>
          <w:rFonts w:ascii="Times New Roman" w:hAnsi="Times New Roman" w:eastAsia="楷体" w:cs="楷体"/>
          <w:b/>
          <w:bCs/>
          <w:sz w:val="30"/>
          <w:szCs w:val="30"/>
        </w:rPr>
      </w:pPr>
      <w:r>
        <w:rPr>
          <w:rFonts w:hint="eastAsia" w:ascii="Times New Roman" w:hAnsi="Times New Roman" w:eastAsia="楷体" w:cs="楷体"/>
          <w:b/>
          <w:bCs/>
          <w:sz w:val="30"/>
          <w:szCs w:val="30"/>
        </w:rPr>
        <w:t>（二）具体情况</w:t>
      </w:r>
    </w:p>
    <w:p w14:paraId="46FE8192">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2024年本部门组织的出国团组0个，出国0人次。</w:t>
      </w:r>
    </w:p>
    <w:p w14:paraId="65B92471">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2.公务用车购置及运行维护费预算109,396.36元，支出决算109,396.36元（去年同期89,000元），支出决算与2024年预算相比持平，完成预算的100%；支出决算较上年增加20,396.36元，增长22.9%。决算数与预算数相比持平的主要原因是年内未执行完的公务用车购置及运行维护费预算在年末核减。决算数较上年增加的主要原因是公务用车车龄较久，维修费增加以及纪委监委办案力度加大，业务量增加。其中：</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运行维护费预算109,396.36元，支出决算109,396.36元（去年同期89,000元），支出决算与2024年预算相比持平，完成预算的100%；支出决算较上年增加20,396.36元，增长22.9%。决算数与预算数相比持平的主要原因是年内未执行完的公务用车购置及运行维护费预算在年末核减。决算数较上年增加的主要原因是公务用车车龄较久，维修费增加以及纪委监委办案力度加大，业务量增加。</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截至2024年12月31日，使用财政拨款开支运行维护费的公务用车保有量为5辆。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2024年购置公务用车0辆。</w:t>
      </w:r>
    </w:p>
    <w:p w14:paraId="5EEC3AF1">
      <w:pPr>
        <w:spacing w:line="600" w:lineRule="exact"/>
        <w:ind w:firstLine="600" w:firstLineChars="200"/>
        <w:jc w:val="both"/>
        <w:rPr>
          <w:rFonts w:ascii="Times New Roman" w:hAnsi="Times New Roman" w:eastAsia="仿宋_GB2312" w:cs="仿宋_GB2312"/>
          <w:sz w:val="30"/>
          <w:szCs w:val="30"/>
        </w:rPr>
      </w:pPr>
      <w:r>
        <w:rPr>
          <w:rFonts w:hint="eastAsia" w:ascii="Times New Roman" w:hAnsi="Times New Roman" w:eastAsia="仿宋_GB2312" w:cs="仿宋_GB2312"/>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2024年本单位国内公务接待0批次，0人次；其中，外事接待0批次，0人次。</w:t>
      </w:r>
    </w:p>
    <w:p w14:paraId="5800844A">
      <w:pPr>
        <w:pStyle w:val="3"/>
        <w:spacing w:before="0" w:after="0" w:line="600" w:lineRule="exact"/>
        <w:ind w:firstLine="600" w:firstLineChars="200"/>
        <w:rPr>
          <w:rFonts w:ascii="Times New Roman" w:hAnsi="Times New Roman" w:eastAsia="黑体"/>
          <w:b w:val="0"/>
          <w:sz w:val="30"/>
          <w:szCs w:val="30"/>
        </w:rPr>
      </w:pPr>
      <w:bookmarkStart w:id="26" w:name="_Toc2589"/>
      <w:r>
        <w:rPr>
          <w:rFonts w:hint="eastAsia" w:ascii="Times New Roman" w:hAnsi="Times New Roman" w:eastAsia="黑体"/>
          <w:b w:val="0"/>
          <w:sz w:val="30"/>
          <w:szCs w:val="30"/>
        </w:rPr>
        <w:t>十、</w:t>
      </w:r>
      <w:r>
        <w:rPr>
          <w:rFonts w:ascii="Times New Roman" w:hAnsi="Times New Roman" w:eastAsia="黑体"/>
          <w:b w:val="0"/>
          <w:sz w:val="30"/>
          <w:szCs w:val="30"/>
        </w:rPr>
        <w:t>机关运行经费</w:t>
      </w:r>
      <w:r>
        <w:rPr>
          <w:rFonts w:hint="eastAsia" w:ascii="Times New Roman" w:hAnsi="Times New Roman" w:eastAsia="黑体"/>
          <w:b w:val="0"/>
          <w:sz w:val="30"/>
          <w:szCs w:val="30"/>
        </w:rPr>
        <w:t>支出情况</w:t>
      </w:r>
      <w:r>
        <w:rPr>
          <w:rFonts w:hint="eastAsia" w:ascii="Times New Roman" w:hAnsi="Times New Roman" w:eastAsia="黑体"/>
          <w:b w:val="0"/>
          <w:bCs w:val="0"/>
          <w:sz w:val="30"/>
          <w:szCs w:val="30"/>
        </w:rPr>
        <w:t>说明</w:t>
      </w:r>
      <w:bookmarkEnd w:id="26"/>
    </w:p>
    <w:p w14:paraId="189342CA">
      <w:pPr>
        <w:spacing w:line="600" w:lineRule="exact"/>
        <w:ind w:firstLine="600"/>
        <w:jc w:val="both"/>
        <w:rPr>
          <w:rFonts w:ascii="Times New Roman" w:hAnsi="Times New Roman" w:eastAsia="楷体"/>
          <w:sz w:val="30"/>
          <w:szCs w:val="30"/>
        </w:rPr>
      </w:pPr>
      <w:r>
        <w:rPr>
          <w:rFonts w:hint="eastAsia" w:ascii="Times New Roman" w:hAnsi="Times New Roman" w:eastAsia="仿宋_GB2312" w:cs="仿宋_GB2312"/>
          <w:sz w:val="30"/>
          <w:szCs w:val="30"/>
        </w:rPr>
        <w:t>机关运行经费是指行政单位和参照公务员法管理的事业单位使用财政拨款安排的基本支出中的日常公用经费支出，中国共产党天津市津南区纪律检查委员会2024年度机关运行经费年初预算884,592.32元，决算数1,950,952.08元，与年初预算相比增加1,066,359.76元，完成年初预算的220.6%；比2023年减少3,740.41元，下降0.2%，主要原因是本年度机关加强内部管理和内控建设，真正过紧日子，对经费支出严格把关，进一步提高预算执行的科学性和准确性。</w:t>
      </w:r>
    </w:p>
    <w:p w14:paraId="286ABED0">
      <w:pPr>
        <w:pStyle w:val="3"/>
        <w:spacing w:before="0" w:after="0" w:line="600" w:lineRule="exact"/>
        <w:ind w:firstLine="600" w:firstLineChars="200"/>
        <w:rPr>
          <w:rFonts w:ascii="Times New Roman" w:hAnsi="Times New Roman" w:eastAsia="黑体"/>
          <w:b w:val="0"/>
          <w:sz w:val="30"/>
          <w:szCs w:val="30"/>
        </w:rPr>
      </w:pPr>
      <w:bookmarkStart w:id="27" w:name="_Toc15010"/>
      <w:r>
        <w:rPr>
          <w:rFonts w:hint="eastAsia" w:ascii="Times New Roman" w:hAnsi="Times New Roman" w:eastAsia="黑体"/>
          <w:b w:val="0"/>
          <w:sz w:val="30"/>
          <w:szCs w:val="30"/>
        </w:rPr>
        <w:t>十一、</w:t>
      </w:r>
      <w:r>
        <w:rPr>
          <w:rFonts w:ascii="Times New Roman" w:hAnsi="Times New Roman" w:eastAsia="黑体"/>
          <w:b w:val="0"/>
          <w:sz w:val="30"/>
          <w:szCs w:val="30"/>
        </w:rPr>
        <w:t>政府采购</w:t>
      </w:r>
      <w:r>
        <w:rPr>
          <w:rFonts w:hint="eastAsia" w:ascii="Times New Roman" w:hAnsi="Times New Roman" w:eastAsia="黑体"/>
          <w:b w:val="0"/>
          <w:sz w:val="30"/>
          <w:szCs w:val="30"/>
        </w:rPr>
        <w:t>支出</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7"/>
    </w:p>
    <w:p w14:paraId="6759D2B0">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中国共产党天津市津南区纪律检查委员会2024年政府采购支出总额40,337.2元，其中：政府采购货物支出40,337.2元、政府采购工程支出0元、政府采购服务支出0元。授予中小企业合同金额40,337.2元，占政府采购支出总额的100%，其中：授予小微企业合同金额40,337.2元，占政府采购支出总额的100%；货物采购授予中小企业合同金额占货物支出金额的100%，工程采购授予中小企业合同金额占工程支出金额的0%，服务采购授予中小企业合同金额占服务支出金额的0%。</w:t>
      </w:r>
    </w:p>
    <w:p w14:paraId="172C8BAA">
      <w:pPr>
        <w:pStyle w:val="3"/>
        <w:spacing w:before="0" w:after="0" w:line="600" w:lineRule="exact"/>
        <w:ind w:firstLine="600" w:firstLineChars="200"/>
        <w:rPr>
          <w:rFonts w:ascii="Times New Roman" w:hAnsi="Times New Roman" w:eastAsia="黑体"/>
          <w:b w:val="0"/>
          <w:sz w:val="30"/>
          <w:szCs w:val="30"/>
        </w:rPr>
      </w:pPr>
      <w:bookmarkStart w:id="28" w:name="_Toc32128"/>
      <w:r>
        <w:rPr>
          <w:rFonts w:hint="eastAsia" w:ascii="Times New Roman" w:hAnsi="Times New Roman" w:eastAsia="黑体"/>
          <w:b w:val="0"/>
          <w:sz w:val="30"/>
          <w:szCs w:val="30"/>
        </w:rPr>
        <w:t>十二、国有资产占有使用情况</w:t>
      </w:r>
      <w:r>
        <w:rPr>
          <w:rFonts w:hint="eastAsia" w:ascii="Times New Roman" w:hAnsi="Times New Roman" w:eastAsia="黑体"/>
          <w:b w:val="0"/>
          <w:bCs w:val="0"/>
          <w:sz w:val="30"/>
          <w:szCs w:val="30"/>
        </w:rPr>
        <w:t>说明</w:t>
      </w:r>
      <w:bookmarkEnd w:id="28"/>
    </w:p>
    <w:p w14:paraId="66DA8249">
      <w:pPr>
        <w:spacing w:line="600" w:lineRule="exact"/>
        <w:ind w:firstLine="600" w:firstLineChars="200"/>
        <w:jc w:val="both"/>
        <w:rPr>
          <w:rFonts w:ascii="Times New Roman" w:hAnsi="Times New Roman" w:eastAsia="楷体"/>
          <w:sz w:val="30"/>
          <w:szCs w:val="30"/>
        </w:rPr>
      </w:pPr>
      <w:r>
        <w:rPr>
          <w:rFonts w:hint="eastAsia" w:ascii="Times New Roman" w:hAnsi="Times New Roman" w:eastAsia="仿宋_GB2312" w:cs="仿宋_GB2312"/>
          <w:sz w:val="30"/>
          <w:szCs w:val="30"/>
        </w:rPr>
        <w:t>截至2024年12月31日，中国共产党天津市津南区纪律检查委员会共有车辆8辆，其中：副部（省）级及以上领导用车0辆、主要负责人用车0辆、机要通信用车0辆、应急保障用车0辆、执法执勤用车5辆、特种专业技术用车0辆、离退休干部用车0辆、其他用车3辆，其他用车主要包括普通轿车2辆、解放轻型客车1辆。单价100万元以上的设备0台（套）。</w:t>
      </w:r>
    </w:p>
    <w:p w14:paraId="05D4266A">
      <w:pPr>
        <w:pStyle w:val="3"/>
        <w:spacing w:before="0" w:after="0" w:line="540" w:lineRule="exact"/>
        <w:ind w:firstLine="600" w:firstLineChars="200"/>
        <w:rPr>
          <w:rFonts w:ascii="Times New Roman" w:hAnsi="Times New Roman" w:eastAsia="黑体"/>
          <w:b w:val="0"/>
          <w:bCs w:val="0"/>
          <w:sz w:val="30"/>
          <w:szCs w:val="30"/>
        </w:rPr>
      </w:pPr>
      <w:bookmarkStart w:id="29" w:name="_Toc31889"/>
      <w:r>
        <w:rPr>
          <w:rFonts w:hint="eastAsia" w:ascii="Times New Roman" w:hAnsi="Times New Roman" w:eastAsia="黑体"/>
          <w:b w:val="0"/>
          <w:bCs w:val="0"/>
          <w:sz w:val="30"/>
          <w:szCs w:val="30"/>
        </w:rPr>
        <w:t>十三、预算绩效情况说明</w:t>
      </w:r>
      <w:bookmarkEnd w:id="29"/>
    </w:p>
    <w:p w14:paraId="17EEADE5">
      <w:pPr>
        <w:spacing w:line="600" w:lineRule="exact"/>
        <w:ind w:firstLine="600" w:firstLineChars="200"/>
        <w:jc w:val="both"/>
        <w:rPr>
          <w:rFonts w:ascii="Times New Roman" w:hAnsi="Times New Roman" w:eastAsia="仿宋_GB2312"/>
          <w:sz w:val="30"/>
          <w:szCs w:val="30"/>
          <w:highlight w:val="yellow"/>
        </w:rPr>
      </w:pPr>
      <w:r>
        <w:rPr>
          <w:rFonts w:hint="eastAsia" w:ascii="Times New Roman" w:hAnsi="Times New Roman" w:eastAsia="仿宋_GB2312" w:cs="仿宋_GB2312"/>
          <w:sz w:val="30"/>
          <w:szCs w:val="30"/>
        </w:rPr>
        <w:t>根据预算绩效管理要求，中国共产党天津市津南区纪律检查委员会2024年度已对11个区级项目开展绩效自评，涉及金额2560588.59元，其中9个项目自评结果已随部门决算一并公开，涉及金额2118588.59元，2个项目因涉密未公开，涉及金额442000元。中国共产党天津市津南区纪律检查委员会2024年度未开展部门评价。</w:t>
      </w:r>
    </w:p>
    <w:p w14:paraId="3487D290">
      <w:pPr>
        <w:pStyle w:val="3"/>
        <w:spacing w:before="0" w:after="0" w:line="600" w:lineRule="exact"/>
        <w:ind w:firstLine="600" w:firstLineChars="200"/>
        <w:rPr>
          <w:rFonts w:ascii="Times New Roman" w:hAnsi="Times New Roman" w:eastAsia="黑体"/>
          <w:b w:val="0"/>
          <w:sz w:val="30"/>
          <w:szCs w:val="30"/>
        </w:rPr>
      </w:pPr>
      <w:bookmarkStart w:id="30" w:name="_Toc6543"/>
      <w:r>
        <w:rPr>
          <w:rFonts w:hint="eastAsia" w:ascii="Times New Roman" w:hAnsi="Times New Roman" w:eastAsia="黑体"/>
          <w:b w:val="0"/>
          <w:sz w:val="30"/>
          <w:szCs w:val="30"/>
        </w:rPr>
        <w:t>十四、</w:t>
      </w:r>
      <w:r>
        <w:rPr>
          <w:rFonts w:ascii="Times New Roman" w:hAnsi="Times New Roman" w:eastAsia="黑体"/>
          <w:b w:val="0"/>
          <w:sz w:val="30"/>
          <w:szCs w:val="30"/>
        </w:rPr>
        <w:t>教育、医疗卫生、社会保障和就业、住房保障、涉农补贴等民生支出情况</w:t>
      </w:r>
      <w:r>
        <w:rPr>
          <w:rFonts w:hint="eastAsia" w:ascii="Times New Roman" w:hAnsi="Times New Roman" w:eastAsia="黑体"/>
          <w:b w:val="0"/>
          <w:bCs w:val="0"/>
          <w:sz w:val="30"/>
          <w:szCs w:val="30"/>
        </w:rPr>
        <w:t>说明</w:t>
      </w:r>
      <w:bookmarkEnd w:id="30"/>
    </w:p>
    <w:p w14:paraId="6EB8D2F0">
      <w:pPr>
        <w:spacing w:line="600" w:lineRule="exact"/>
        <w:ind w:firstLine="600"/>
        <w:jc w:val="both"/>
        <w:rPr>
          <w:rFonts w:ascii="Times New Roman" w:hAnsi="Times New Roman" w:eastAsia="楷体"/>
          <w:b/>
          <w:bCs/>
          <w:sz w:val="30"/>
          <w:szCs w:val="30"/>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仿宋_GB2312"/>
          <w:sz w:val="30"/>
          <w:szCs w:val="30"/>
        </w:rPr>
        <w:t>中国共产党天津市津南区纪律检查委员会不属于乡、镇、街级单位，不涉及公开2024年度教育、医疗卫生、社会保障和就业、住房保障、涉农补贴等民生支出情况。</w:t>
      </w:r>
      <w:r>
        <w:rPr>
          <w:rFonts w:ascii="Times New Roman" w:hAnsi="Times New Roman" w:eastAsia="楷体"/>
          <w:b/>
          <w:bCs/>
          <w:sz w:val="30"/>
          <w:szCs w:val="30"/>
        </w:rPr>
        <w:t xml:space="preserve"> </w:t>
      </w:r>
    </w:p>
    <w:p w14:paraId="6741ECA0">
      <w:pPr>
        <w:pStyle w:val="2"/>
        <w:spacing w:before="0" w:after="0" w:line="600" w:lineRule="exact"/>
        <w:jc w:val="center"/>
        <w:rPr>
          <w:rFonts w:ascii="Times New Roman" w:hAnsi="Times New Roman" w:eastAsia="方正小标宋简体" w:cs="方正小标宋简体"/>
          <w:b w:val="0"/>
        </w:rPr>
      </w:pPr>
      <w:bookmarkStart w:id="31" w:name="_Toc17573"/>
      <w:bookmarkStart w:id="32" w:name="_Toc24691"/>
      <w:r>
        <w:rPr>
          <w:rFonts w:hint="eastAsia" w:ascii="Times New Roman" w:hAnsi="Times New Roman" w:eastAsia="方正小标宋简体" w:cs="方正小标宋简体"/>
          <w:b w:val="0"/>
        </w:rPr>
        <w:t>第四部分  名词解释</w:t>
      </w:r>
      <w:bookmarkEnd w:id="31"/>
      <w:bookmarkEnd w:id="32"/>
    </w:p>
    <w:p w14:paraId="060137E6">
      <w:pPr>
        <w:spacing w:line="600" w:lineRule="exact"/>
        <w:ind w:firstLine="600" w:firstLineChars="200"/>
        <w:rPr>
          <w:rFonts w:ascii="Times New Roman" w:hAnsi="Times New Roman" w:eastAsia="仿宋_GB2312"/>
          <w:sz w:val="30"/>
          <w:szCs w:val="30"/>
        </w:rPr>
      </w:pPr>
    </w:p>
    <w:p w14:paraId="76F4E187">
      <w:pPr>
        <w:numPr>
          <w:ilvl w:val="0"/>
          <w:numId w:val="2"/>
        </w:num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F958FF1">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06CC9DA">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6E06BC62">
      <w:pPr>
        <w:spacing w:line="600" w:lineRule="exact"/>
        <w:ind w:firstLine="600"/>
        <w:rPr>
          <w:rFonts w:ascii="Times New Roman" w:hAnsi="Times New Roman" w:eastAsia="仿宋_GB2312"/>
          <w:sz w:val="30"/>
          <w:szCs w:val="30"/>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4E1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80C2">
    <w:pPr>
      <w:pStyle w:val="7"/>
    </w:pPr>
    <w:r>
      <mc:AlternateContent>
        <mc:Choice Requires="wps">
          <w:drawing>
            <wp:anchor distT="0" distB="0" distL="114300" distR="114300" simplePos="0" relativeHeight="251660288"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F3273E">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60288;mso-width-relative:page;mso-height-relative:page;" filled="f" stroked="f" coordsize="21600,21600" o:gfxdata="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qXtf1wAAAAgBAAAPAAAAAAAAAAEAIAAAACIAAABkcnMv&#10;ZG93bnJldi54bWxQSwECFAAUAAAACACHTuJAbieJa8sBAACXAwAADgAAAAAAAAABACAAAAAmAQAA&#10;ZHJzL2Uyb0RvYy54bWxQSwUGAAAAAAYABgBZAQAAYwUAAAAA&#10;">
              <v:fill on="f" focussize="0,0"/>
              <v:stroke on="f" weight="1.25pt"/>
              <v:imagedata o:title=""/>
              <o:lock v:ext="edit" aspectratio="f"/>
              <v:textbox inset="0mm,0mm,0mm,0mm" style="mso-fit-shape-to-text:t;">
                <w:txbxContent>
                  <w:p w14:paraId="37F3273E">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963E">
    <w:pPr>
      <w:pStyle w:val="7"/>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20E4B2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59264;mso-width-relative:page;mso-height-relative:page;" filled="f" stroked="f" coordsize="21600,21600" o:gfxdata="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N0G2PUAAAACAEAAA8AAAAAAAAAAQAgAAAAIgAAAGRycy9kb3du&#10;cmV2LnhtbFBLAQIUABQAAAAIAIdO4kCY9oAQAwIAAAQEAAAOAAAAAAAAAAEAIAAAACMBAABkcnMv&#10;ZTJvRG9jLnhtbFBLBQYAAAAABgAGAFkBAACYBQAAAAA=&#10;">
              <v:fill on="f" focussize="0,0"/>
              <v:stroke on="f"/>
              <v:imagedata o:title=""/>
              <o:lock v:ext="edit" aspectratio="f"/>
              <v:textbox inset="0mm,0mm,0mm,0mm" style="mso-fit-shape-to-text:t;">
                <w:txbxContent>
                  <w:p w14:paraId="020E4B2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79B7"/>
    <w:multiLevelType w:val="singleLevel"/>
    <w:tmpl w:val="62CB79B7"/>
    <w:lvl w:ilvl="0" w:tentative="0">
      <w:start w:val="3"/>
      <w:numFmt w:val="chineseCounting"/>
      <w:suff w:val="nothing"/>
      <w:lvlText w:val="（%1）"/>
      <w:lvlJc w:val="left"/>
    </w:lvl>
  </w:abstractNum>
  <w:abstractNum w:abstractNumId="1">
    <w:nsid w:val="62CB88B4"/>
    <w:multiLevelType w:val="singleLevel"/>
    <w:tmpl w:val="62CB88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NzRjODIwNDMyMWFhMzA3ZWZkM2QwNzBjNmI1ZGYifQ=="/>
  </w:docVars>
  <w:rsids>
    <w:rsidRoot w:val="11D802DB"/>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3FBBB46F"/>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D2533"/>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751A6C"/>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6D3A36"/>
    <w:rsid w:val="7D9A013D"/>
    <w:rsid w:val="7E9160CF"/>
    <w:rsid w:val="7EC635B1"/>
    <w:rsid w:val="7EC677D3"/>
    <w:rsid w:val="7FDC2489"/>
    <w:rsid w:val="7FFDEEFD"/>
    <w:rsid w:val="D74FDF30"/>
    <w:rsid w:val="DEAEE68D"/>
    <w:rsid w:val="F7F97754"/>
    <w:rsid w:val="FB7FC3E7"/>
    <w:rsid w:val="FF3F61B6"/>
    <w:rsid w:val="FFC7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4"/>
    <w:qFormat/>
    <w:uiPriority w:val="9"/>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5"/>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3">
    <w:name w:val="Hyperlink"/>
    <w:unhideWhenUsed/>
    <w:qFormat/>
    <w:uiPriority w:val="99"/>
    <w:rPr>
      <w:color w:val="0000FF"/>
      <w:u w:val="single"/>
    </w:rPr>
  </w:style>
  <w:style w:type="character" w:customStyle="1" w:styleId="14">
    <w:name w:val="标题 3 字符"/>
    <w:link w:val="4"/>
    <w:semiHidden/>
    <w:qFormat/>
    <w:uiPriority w:val="9"/>
    <w:rPr>
      <w:b/>
      <w:bCs/>
      <w:sz w:val="32"/>
      <w:szCs w:val="32"/>
    </w:rPr>
  </w:style>
  <w:style w:type="character" w:customStyle="1" w:styleId="15">
    <w:name w:val="页脚 字符"/>
    <w:link w:val="7"/>
    <w:semiHidden/>
    <w:qFormat/>
    <w:uiPriority w:val="0"/>
    <w:rPr>
      <w:sz w:val="18"/>
      <w:szCs w:val="18"/>
    </w:rPr>
  </w:style>
  <w:style w:type="character" w:customStyle="1" w:styleId="16">
    <w:name w:val="页眉 字符"/>
    <w:link w:val="8"/>
    <w:semiHidden/>
    <w:qFormat/>
    <w:uiPriority w:val="0"/>
    <w:rPr>
      <w:sz w:val="18"/>
      <w:szCs w:val="18"/>
    </w:rPr>
  </w:style>
  <w:style w:type="character" w:customStyle="1" w:styleId="17">
    <w:name w:val="批注框文本 字符"/>
    <w:link w:val="6"/>
    <w:semiHidden/>
    <w:qFormat/>
    <w:uiPriority w:val="99"/>
    <w:rPr>
      <w:sz w:val="18"/>
      <w:szCs w:val="18"/>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1 字符"/>
    <w:link w:val="2"/>
    <w:qFormat/>
    <w:uiPriority w:val="9"/>
    <w:rPr>
      <w:b/>
      <w:bCs/>
      <w:kern w:val="44"/>
      <w:sz w:val="44"/>
      <w:szCs w:val="44"/>
    </w:rPr>
  </w:style>
  <w:style w:type="paragraph" w:customStyle="1" w:styleId="20">
    <w:name w:val="TOC Heading"/>
    <w:basedOn w:val="2"/>
    <w:next w:val="1"/>
    <w:qFormat/>
    <w:uiPriority w:val="39"/>
    <w:pPr>
      <w:widowControl/>
      <w:adjustRightInd/>
      <w:spacing w:before="480" w:after="0" w:line="276" w:lineRule="auto"/>
      <w:textAlignment w:val="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5591</Words>
  <Characters>6621</Characters>
  <Lines>24</Lines>
  <Paragraphs>7</Paragraphs>
  <TotalTime>181</TotalTime>
  <ScaleCrop>false</ScaleCrop>
  <LinksUpToDate>false</LinksUpToDate>
  <CharactersWithSpaces>6733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2025-09-06T02:36:00Z</dcterms:created>
  <dc:creator>Administrator</dc:creator>
  <cp:lastModifiedBy>小雨霏霏</cp:lastModifiedBy>
  <cp:lastPrinted>2025-06-26T07:52:00Z</cp:lastPrinted>
  <dcterms:modified xsi:type="dcterms:W3CDTF">2025-11-26T07:06:19Z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2052-12.1.0.23542</vt:lpwstr>
  </property>
  <property fmtid="{D5CDD505-2E9C-101B-9397-08002B2CF9AE}" pid="4" name="KSOTemplateDocerSaveRecord">
    <vt:lpwstr>eyJoZGlkIjoiNzQwMTYxNTM5NDMyMmFkYWM5ZDMxZmE0NzNjMTVlZWQiLCJ1c2VySWQiOiI3MDA0MzYyMzEifQ==</vt:lpwstr>
  </property>
</Properties>
</file>