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textAlignment w:val="baseline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中国共产党天津市津南区纪律检查委员会202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Times New Roman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度</w:t>
      </w:r>
      <w:r>
        <w:rPr>
          <w:rFonts w:ascii="方正小标宋简体" w:hAnsi="宋体" w:eastAsia="方正小标宋简体" w:cs="Times New Roman"/>
          <w:kern w:val="0"/>
          <w:sz w:val="44"/>
          <w:szCs w:val="44"/>
        </w:rPr>
        <w:t>部门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决算</w:t>
      </w:r>
      <w:r>
        <w:rPr>
          <w:rFonts w:ascii="方正小标宋简体" w:hAnsi="宋体" w:eastAsia="方正小标宋简体" w:cs="Times New Roman"/>
          <w:kern w:val="0"/>
          <w:sz w:val="44"/>
          <w:szCs w:val="44"/>
        </w:rPr>
        <w:t>和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“</w:t>
      </w:r>
      <w:r>
        <w:rPr>
          <w:rFonts w:ascii="方正小标宋简体" w:hAnsi="宋体" w:eastAsia="方正小标宋简体" w:cs="Times New Roman"/>
          <w:kern w:val="0"/>
          <w:sz w:val="44"/>
          <w:szCs w:val="44"/>
        </w:rPr>
        <w:t>三公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”</w:t>
      </w:r>
      <w:r>
        <w:rPr>
          <w:rFonts w:ascii="方正小标宋简体" w:hAnsi="宋体" w:eastAsia="方正小标宋简体" w:cs="Times New Roman"/>
          <w:kern w:val="0"/>
          <w:sz w:val="44"/>
          <w:szCs w:val="44"/>
        </w:rPr>
        <w:t>经费</w:t>
      </w:r>
    </w:p>
    <w:p>
      <w:pPr>
        <w:adjustRightInd w:val="0"/>
        <w:spacing w:line="600" w:lineRule="exact"/>
        <w:jc w:val="center"/>
        <w:textAlignment w:val="baseline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决算</w:t>
      </w:r>
      <w:r>
        <w:rPr>
          <w:rFonts w:ascii="方正小标宋简体" w:hAnsi="宋体" w:eastAsia="方正小标宋简体" w:cs="Times New Roman"/>
          <w:kern w:val="0"/>
          <w:sz w:val="44"/>
          <w:szCs w:val="44"/>
        </w:rPr>
        <w:t>公开工作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操作规程</w:t>
      </w:r>
    </w:p>
    <w:p>
      <w:pPr>
        <w:adjustRightInd w:val="0"/>
        <w:spacing w:line="600" w:lineRule="exact"/>
        <w:jc w:val="left"/>
        <w:textAlignment w:val="baseline"/>
        <w:rPr>
          <w:rFonts w:ascii="仿宋_GB2312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为进一步规范部门决算公开工作，根据财政部、市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区两级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政府对决算信息公开的有关要求，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制定本年度本单位部门决算和“三公”经费决算公开工作操作规程。</w:t>
      </w:r>
    </w:p>
    <w:p>
      <w:pPr>
        <w:adjustRightIn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一、公开主体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中国共产党天津市津南区纪律检查委员会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此次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部门决算公开主体，负责决算公开工作。应当按照《预算法》及其实施条例有关规定，履行决算公开的责任和义务，保证决算公开的真实性、准确性、完整性和及时性，并做好决算公开后的说明解释工作。</w:t>
      </w:r>
    </w:p>
    <w:p>
      <w:pPr>
        <w:adjustRightInd w:val="0"/>
        <w:spacing w:line="560" w:lineRule="exact"/>
        <w:ind w:firstLine="600"/>
        <w:jc w:val="left"/>
        <w:textAlignment w:val="baseline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二、公开范围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中国共产党天津市津南区纪律检查委员会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应当积极稳妥公开本单位决算（涉密信息除外）。依法确定为国家秘密的信息不予公开；涉密信息经法定程序解密并删除涉密内容后，予以公开。</w:t>
      </w:r>
    </w:p>
    <w:p>
      <w:pPr>
        <w:adjustRightIn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三、公开时间</w:t>
      </w:r>
    </w:p>
    <w:p>
      <w:pPr>
        <w:adjustRightIn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按照《预算法》规定，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经本级政府财政部门批复的部门决算及报表，应当在批复后20日内向社会公开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据此，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中国共产党天津市津南区纪律检查委员会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部门决算和“三公”经费决算定于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月29日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集中统一向社会公开。</w:t>
      </w:r>
      <w:bookmarkStart w:id="0" w:name="_GoBack"/>
      <w:bookmarkEnd w:id="0"/>
    </w:p>
    <w:p>
      <w:pPr>
        <w:adjustRightIn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四、公开形式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1.通过津南政务网预决算统一公开平台向社会公开部门决算及“三公”经费决算，并保持长期公开状态。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2.通过自有门户网站“廉韵津沽·津南廉播” 向社会公开部门决算及“三公”经费决算，并保持长期公开状态。</w:t>
      </w:r>
    </w:p>
    <w:p>
      <w:pPr>
        <w:numPr>
          <w:ilvl w:val="0"/>
          <w:numId w:val="1"/>
        </w:numPr>
        <w:adjustRightIn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公开内容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（一）</w:t>
      </w:r>
      <w:r>
        <w:rPr>
          <w:rFonts w:ascii="楷体" w:hAnsi="楷体" w:eastAsia="楷体" w:cs="Times New Roman"/>
          <w:kern w:val="0"/>
          <w:sz w:val="32"/>
          <w:szCs w:val="32"/>
        </w:rPr>
        <w:t>部门决算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张部门决算表格，即：《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收入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支出决算总表》、《收入决算表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（按功能分类列示）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》、《收入决算表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（按单位列示）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》、《支出决算表》、《财政拨款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收入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支出决算总表》、《一般公共预算财政拨款支出决算表》、《一般公共预算财政拨款基本支出决算表》、《政府性基金预算财政拨款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收入支出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决算表》、《国有资本经营预算财政拨款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支出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决算表》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、《一般公共预算财政拨款“三公”经费支出决算表》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和《项目支出决算表》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除涉密信息外，《收入决算表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（按功能分类列示）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》、《支出决算表》、《一般公共预算财政拨款支出决算表》、《政府性基金预算财政拨款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收入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支出决算表》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《国有资本经营预算财政拨款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支出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决算表》和《项目支出决算表》要细化公开到支出功能分类项级科目，《一般公共预算财政拨款基本支出决算表》要细化公开到经济分类款级科目。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没有数据的表格要零报告（即列出空表并附说明）。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部门决算公开的文字说明中，应当对公开的决算表内容进行说明，以便于社会公众理解本单位决算信息。说明内容主要包括预算执行情况说明和专业名词解释。同时，还应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公开本单位职责、机构设置、决算收支增减变化、机关运行经费、政府采购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支出、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预算绩效情况、国有资产占有使用情况等信息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（二）</w:t>
      </w:r>
      <w:r>
        <w:rPr>
          <w:rFonts w:ascii="楷体" w:hAnsi="楷体" w:eastAsia="楷体" w:cs="Times New Roman"/>
          <w:kern w:val="0"/>
          <w:sz w:val="32"/>
          <w:szCs w:val="32"/>
        </w:rPr>
        <w:t>“三公”经费决算。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除涉密信息外，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一般公共预算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“三公”经费决算总额和分项数额，并对增减变化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原因（与全年预算数、上年决算数对比）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进行说明。同时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细化说明“三公”经费支出相关的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因公出国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（境）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团组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，公务用车购置数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保有量，公务接待批次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人次等相关实物量。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公开“三公”经费决算时，相关说明和表格若无内容，也应当列出空表并用文字加以说明。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（三）</w:t>
      </w:r>
      <w:r>
        <w:rPr>
          <w:rFonts w:ascii="楷体" w:hAnsi="楷体" w:eastAsia="楷体" w:cs="Times New Roman"/>
          <w:kern w:val="0"/>
          <w:sz w:val="32"/>
          <w:szCs w:val="32"/>
        </w:rPr>
        <w:t>决算公开规范。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按照财政部《地方预决算公开操作规程》提出的“地方各部门在本级政府信息公开工作主管部门领导下，组织开展本部门预决算公开工作，制定本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预决算公开规定”的要求，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部门应制定本部门预决算公开工作操作规程，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涵盖公开的职责、时间、内容、形式等事项，并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按照前文所述最大公开渠道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向社会公开。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Times New Roman" w:eastAsia="黑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（四）预算绩效情况。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按照中央和我市全面推进预算绩效管理部署要求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，对本单位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项目支出绩效自评结果进行公开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所有项目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支出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（涉密及敏感项目除外），也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向社会公开，自觉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接受社会监督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黑体" w:hAnsi="Times New Roman" w:eastAsia="黑体" w:cs="Times New Roman"/>
          <w:kern w:val="0"/>
          <w:sz w:val="32"/>
          <w:szCs w:val="32"/>
        </w:rPr>
        <w:t xml:space="preserve">            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765" w:footer="765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1206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Pnc01zRAAAAAgEAAA8AAAAAAAAAAQAgAAAAOAAAAGRycy9kb3ducmV2LnhtbFBLAQIUABQA&#10;AAAIAIdO4kD72+6JGgIAABYEAAAOAAAAAAAAAAEAIAAAAD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5BEF0"/>
    <w:multiLevelType w:val="singleLevel"/>
    <w:tmpl w:val="9265BE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F6"/>
    <w:rsid w:val="00002861"/>
    <w:rsid w:val="001E504E"/>
    <w:rsid w:val="00220D97"/>
    <w:rsid w:val="0036081B"/>
    <w:rsid w:val="004D5E6D"/>
    <w:rsid w:val="00853947"/>
    <w:rsid w:val="00B357F6"/>
    <w:rsid w:val="00E05DA2"/>
    <w:rsid w:val="00F42C8E"/>
    <w:rsid w:val="6BEF7322"/>
    <w:rsid w:val="EF79A777"/>
    <w:rsid w:val="FF7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</Words>
  <Characters>1275</Characters>
  <Lines>10</Lines>
  <Paragraphs>2</Paragraphs>
  <TotalTime>311</TotalTime>
  <ScaleCrop>false</ScaleCrop>
  <LinksUpToDate>false</LinksUpToDate>
  <CharactersWithSpaces>1496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2023-08-23T17:51:00Z</dcterms:created>
  <dc:creator>津南纪委</dc:creator>
  <cp:lastModifiedBy>greatwall</cp:lastModifiedBy>
  <dcterms:modified xsi:type="dcterms:W3CDTF">2025-09-28T10:50:20Z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