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auto"/>
        <w:rPr>
          <w:rFonts w:asciiTheme="minorEastAsia" w:hAnsiTheme="minorEastAsia" w:cstheme="minorEastAsia"/>
          <w:color w:val="000000"/>
          <w:sz w:val="22"/>
          <w:szCs w:val="22"/>
        </w:rPr>
      </w:pPr>
    </w:p>
    <w:p>
      <w:pPr>
        <w:spacing w:line="600" w:lineRule="auto"/>
        <w:rPr>
          <w:rFonts w:asciiTheme="minorEastAsia" w:hAnsiTheme="minorEastAsia" w:cstheme="minorEastAsia"/>
          <w:color w:val="000000"/>
          <w:sz w:val="22"/>
          <w:szCs w:val="22"/>
        </w:rPr>
      </w:pPr>
    </w:p>
    <w:p>
      <w:pPr>
        <w:spacing w:line="600" w:lineRule="auto"/>
        <w:rPr>
          <w:rFonts w:asciiTheme="minorEastAsia" w:hAnsiTheme="minorEastAsia" w:cstheme="minorEastAsia"/>
          <w:color w:val="000000"/>
          <w:sz w:val="22"/>
          <w:szCs w:val="22"/>
        </w:rPr>
      </w:pPr>
    </w:p>
    <w:p>
      <w:pPr>
        <w:widowControl/>
        <w:rPr>
          <w:rFonts w:ascii="Fz_S_BiaoSong_Jt" w:eastAsia="Fz_S_BiaoSong_Jt"/>
          <w:sz w:val="48"/>
          <w:szCs w:val="48"/>
        </w:rPr>
      </w:pPr>
      <w:r>
        <w:rPr>
          <w:rFonts w:ascii="Fz_S_BiaoSong_Jt" w:eastAsia="Fz_S_BiaoSong_Jt"/>
          <w:sz w:val="48"/>
          <w:szCs w:val="48"/>
        </w:rPr>
        <w:t>天津市南开区纪委监委综合服务中心</w:t>
      </w:r>
    </w:p>
    <w:p>
      <w:pPr>
        <w:widowControl/>
        <w:jc w:val="center"/>
        <w:rPr>
          <w:rFonts w:ascii="Times New Roman" w:eastAsia="Fz_S_BiaoSong_Jt"/>
          <w:sz w:val="48"/>
          <w:szCs w:val="48"/>
        </w:rPr>
      </w:pPr>
      <w:r>
        <w:rPr>
          <w:rFonts w:ascii="Times New Roman" w:eastAsia="Fz_S_BiaoSong_Jt"/>
          <w:sz w:val="48"/>
          <w:szCs w:val="48"/>
        </w:rPr>
        <w:t>2024年度部门决算</w:t>
      </w:r>
    </w:p>
    <w:p>
      <w:pPr>
        <w:spacing w:line="600" w:lineRule="auto"/>
        <w:rPr>
          <w:rFonts w:asciiTheme="minorEastAsia" w:hAnsiTheme="minorEastAsia" w:cstheme="minorEastAsia"/>
          <w:color w:val="000000"/>
          <w:sz w:val="22"/>
          <w:szCs w:val="22"/>
        </w:rPr>
      </w:pPr>
    </w:p>
    <w:p>
      <w:pPr>
        <w:spacing w:line="600" w:lineRule="auto"/>
        <w:rPr>
          <w:rFonts w:asciiTheme="minorEastAsia" w:hAnsiTheme="minorEastAsia" w:cstheme="minorEastAsia"/>
          <w:color w:val="000000"/>
          <w:sz w:val="22"/>
          <w:szCs w:val="22"/>
        </w:rPr>
      </w:pPr>
    </w:p>
    <w:p>
      <w:pPr>
        <w:spacing w:line="600" w:lineRule="auto"/>
        <w:rPr>
          <w:rFonts w:asciiTheme="minorEastAsia" w:hAnsiTheme="minorEastAsia" w:cstheme="minorEastAsia"/>
          <w:color w:val="000000"/>
          <w:sz w:val="22"/>
          <w:szCs w:val="22"/>
        </w:rPr>
      </w:pPr>
    </w:p>
    <w:p>
      <w:pP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br w:type="page"/>
      </w:r>
    </w:p>
    <w:p>
      <w:pPr>
        <w:widowControl/>
        <w:jc w:val="center"/>
        <w:outlineLvl w:val="0"/>
        <w:rPr>
          <w:rFonts w:ascii="宋体" w:eastAsia="黑体"/>
          <w:sz w:val="44"/>
          <w:szCs w:val="44"/>
        </w:rPr>
      </w:pPr>
      <w:r>
        <w:rPr>
          <w:rFonts w:ascii="宋体" w:eastAsia="黑体"/>
          <w:sz w:val="44"/>
          <w:szCs w:val="44"/>
        </w:rPr>
        <w:t>目  录</w:t>
      </w:r>
    </w:p>
    <w:p>
      <w:pPr>
        <w:widowControl/>
        <w:rPr>
          <w:rFonts w:ascii="黑体" w:eastAsia="黑体"/>
          <w:sz w:val="30"/>
          <w:szCs w:val="30"/>
        </w:rPr>
      </w:pPr>
      <w:r>
        <w:rPr>
          <w:rFonts w:ascii="黑体" w:eastAsia="黑体"/>
          <w:sz w:val="30"/>
          <w:szCs w:val="30"/>
        </w:rPr>
        <w:t>第一部分   概况</w:t>
      </w:r>
    </w:p>
    <w:p>
      <w:pPr>
        <w:widowControl/>
        <w:ind w:firstLine="600" w:firstLineChars="200"/>
        <w:rPr>
          <w:rFonts w:ascii="宋体" w:eastAsia="仿宋_GB2312"/>
          <w:sz w:val="30"/>
          <w:szCs w:val="30"/>
        </w:rPr>
      </w:pPr>
      <w:r>
        <w:rPr>
          <w:rFonts w:ascii="宋体" w:eastAsia="仿宋_GB2312"/>
          <w:sz w:val="30"/>
          <w:szCs w:val="30"/>
        </w:rPr>
        <w:t>一、主要职责</w:t>
      </w:r>
    </w:p>
    <w:p>
      <w:pPr>
        <w:widowControl/>
        <w:ind w:firstLine="600" w:firstLineChars="200"/>
        <w:rPr>
          <w:rFonts w:ascii="宋体" w:eastAsia="仿宋_GB2312"/>
          <w:sz w:val="30"/>
          <w:szCs w:val="30"/>
        </w:rPr>
      </w:pPr>
      <w:r>
        <w:rPr>
          <w:rFonts w:ascii="宋体" w:eastAsia="仿宋_GB2312"/>
          <w:sz w:val="30"/>
          <w:szCs w:val="30"/>
        </w:rPr>
        <w:t>二、机构设置</w:t>
      </w:r>
    </w:p>
    <w:p>
      <w:pPr>
        <w:widowControl/>
        <w:rPr>
          <w:rFonts w:ascii="黑体" w:eastAsia="黑体"/>
          <w:sz w:val="30"/>
          <w:szCs w:val="30"/>
        </w:rPr>
      </w:pPr>
      <w:r>
        <w:rPr>
          <w:rFonts w:ascii="黑体" w:eastAsia="黑体"/>
          <w:sz w:val="30"/>
          <w:szCs w:val="30"/>
        </w:rPr>
        <w:t>第二部分   2024年度部门决算报表</w:t>
      </w:r>
    </w:p>
    <w:p>
      <w:pPr>
        <w:widowControl/>
        <w:ind w:firstLine="600" w:firstLineChars="200"/>
        <w:rPr>
          <w:rFonts w:ascii="宋体" w:eastAsia="仿宋_GB2312"/>
          <w:sz w:val="30"/>
          <w:szCs w:val="30"/>
        </w:rPr>
      </w:pPr>
      <w:r>
        <w:rPr>
          <w:rFonts w:ascii="宋体" w:eastAsia="仿宋_GB2312"/>
          <w:sz w:val="30"/>
          <w:szCs w:val="30"/>
        </w:rPr>
        <w:t>一、收入支出决算总表</w:t>
      </w:r>
    </w:p>
    <w:p>
      <w:pPr>
        <w:widowControl/>
        <w:ind w:firstLine="600" w:firstLineChars="200"/>
        <w:rPr>
          <w:rFonts w:ascii="宋体" w:eastAsia="仿宋_GB2312"/>
          <w:sz w:val="30"/>
          <w:szCs w:val="30"/>
        </w:rPr>
      </w:pPr>
      <w:r>
        <w:rPr>
          <w:rFonts w:ascii="宋体" w:eastAsia="仿宋_GB2312"/>
          <w:sz w:val="30"/>
          <w:szCs w:val="30"/>
        </w:rPr>
        <w:t>二、收入决算表（按功能分类列示）</w:t>
      </w:r>
    </w:p>
    <w:p>
      <w:pPr>
        <w:widowControl/>
        <w:ind w:firstLine="600" w:firstLineChars="200"/>
        <w:rPr>
          <w:rFonts w:ascii="宋体" w:eastAsia="仿宋_GB2312"/>
          <w:sz w:val="30"/>
          <w:szCs w:val="30"/>
        </w:rPr>
      </w:pPr>
      <w:r>
        <w:rPr>
          <w:rFonts w:ascii="宋体" w:eastAsia="仿宋_GB2312"/>
          <w:sz w:val="30"/>
          <w:szCs w:val="30"/>
        </w:rPr>
        <w:t>三、收入决算表（按单位列示）</w:t>
      </w:r>
    </w:p>
    <w:p>
      <w:pPr>
        <w:widowControl/>
        <w:ind w:firstLine="600" w:firstLineChars="200"/>
        <w:rPr>
          <w:rFonts w:ascii="宋体" w:eastAsia="仿宋_GB2312"/>
          <w:sz w:val="30"/>
          <w:szCs w:val="30"/>
        </w:rPr>
      </w:pPr>
      <w:r>
        <w:rPr>
          <w:rFonts w:ascii="宋体" w:eastAsia="仿宋_GB2312"/>
          <w:sz w:val="30"/>
          <w:szCs w:val="30"/>
        </w:rPr>
        <w:t>四、支出决算表</w:t>
      </w:r>
    </w:p>
    <w:p>
      <w:pPr>
        <w:widowControl/>
        <w:ind w:firstLine="600" w:firstLineChars="200"/>
        <w:rPr>
          <w:rFonts w:ascii="宋体" w:eastAsia="仿宋_GB2312"/>
          <w:sz w:val="30"/>
          <w:szCs w:val="30"/>
        </w:rPr>
      </w:pPr>
      <w:r>
        <w:rPr>
          <w:rFonts w:ascii="宋体" w:eastAsia="仿宋_GB2312"/>
          <w:sz w:val="30"/>
          <w:szCs w:val="30"/>
        </w:rPr>
        <w:t>五、财政拨款收入支出决算总表</w:t>
      </w:r>
    </w:p>
    <w:p>
      <w:pPr>
        <w:widowControl/>
        <w:ind w:firstLine="600" w:firstLineChars="200"/>
        <w:rPr>
          <w:rFonts w:ascii="宋体" w:eastAsia="仿宋_GB2312"/>
          <w:sz w:val="30"/>
          <w:szCs w:val="30"/>
        </w:rPr>
      </w:pPr>
      <w:r>
        <w:rPr>
          <w:rFonts w:ascii="宋体" w:eastAsia="仿宋_GB2312"/>
          <w:sz w:val="30"/>
          <w:szCs w:val="30"/>
        </w:rPr>
        <w:t>六、一般公共预算财政拨款支出决算表</w:t>
      </w:r>
    </w:p>
    <w:p>
      <w:pPr>
        <w:widowControl/>
        <w:ind w:firstLine="600" w:firstLineChars="200"/>
        <w:rPr>
          <w:rFonts w:ascii="宋体" w:eastAsia="仿宋_GB2312"/>
          <w:sz w:val="30"/>
          <w:szCs w:val="30"/>
        </w:rPr>
      </w:pPr>
      <w:r>
        <w:rPr>
          <w:rFonts w:ascii="宋体" w:eastAsia="仿宋_GB2312"/>
          <w:sz w:val="30"/>
          <w:szCs w:val="30"/>
        </w:rPr>
        <w:t>七、一般公共预算财政拨款基本支出决算明细表</w:t>
      </w:r>
    </w:p>
    <w:p>
      <w:pPr>
        <w:widowControl/>
        <w:ind w:firstLine="600" w:firstLineChars="200"/>
        <w:rPr>
          <w:rFonts w:ascii="宋体" w:eastAsia="仿宋_GB2312"/>
          <w:sz w:val="30"/>
          <w:szCs w:val="30"/>
        </w:rPr>
      </w:pPr>
      <w:r>
        <w:rPr>
          <w:rFonts w:ascii="宋体" w:eastAsia="仿宋_GB2312"/>
          <w:sz w:val="30"/>
          <w:szCs w:val="30"/>
        </w:rPr>
        <w:t>八、政府性基金预算财政拨款收入支出决算表</w:t>
      </w:r>
    </w:p>
    <w:p>
      <w:pPr>
        <w:widowControl/>
        <w:ind w:firstLine="600" w:firstLineChars="200"/>
        <w:rPr>
          <w:rFonts w:ascii="宋体" w:eastAsia="仿宋_GB2312"/>
          <w:sz w:val="30"/>
          <w:szCs w:val="30"/>
        </w:rPr>
      </w:pPr>
      <w:r>
        <w:rPr>
          <w:rFonts w:ascii="宋体" w:eastAsia="仿宋_GB2312"/>
          <w:sz w:val="30"/>
          <w:szCs w:val="30"/>
        </w:rPr>
        <w:t>九、国有资本经营预算财政拨款支出决算表</w:t>
      </w:r>
    </w:p>
    <w:p>
      <w:pPr>
        <w:widowControl/>
        <w:ind w:firstLine="600" w:firstLineChars="200"/>
        <w:rPr>
          <w:rFonts w:ascii="宋体" w:eastAsia="仿宋_GB2312"/>
          <w:sz w:val="30"/>
          <w:szCs w:val="30"/>
        </w:rPr>
      </w:pPr>
      <w:r>
        <w:rPr>
          <w:rFonts w:ascii="宋体" w:eastAsia="仿宋_GB2312"/>
          <w:sz w:val="30"/>
          <w:szCs w:val="30"/>
        </w:rPr>
        <w:t>十、财政拨款“三公”经费支出决算表</w:t>
      </w:r>
    </w:p>
    <w:p>
      <w:pPr>
        <w:widowControl/>
        <w:ind w:firstLine="600" w:firstLineChars="200"/>
        <w:rPr>
          <w:rFonts w:ascii="宋体" w:eastAsia="仿宋_GB2312"/>
          <w:sz w:val="30"/>
          <w:szCs w:val="30"/>
        </w:rPr>
      </w:pPr>
      <w:r>
        <w:rPr>
          <w:rFonts w:ascii="宋体" w:eastAsia="仿宋_GB2312"/>
          <w:sz w:val="30"/>
          <w:szCs w:val="30"/>
        </w:rPr>
        <w:t>十一、项目支出决算表</w:t>
      </w:r>
    </w:p>
    <w:p>
      <w:pPr>
        <w:widowControl/>
        <w:rPr>
          <w:rFonts w:ascii="黑体" w:eastAsia="黑体"/>
          <w:sz w:val="30"/>
          <w:szCs w:val="30"/>
        </w:rPr>
      </w:pPr>
      <w:r>
        <w:rPr>
          <w:rFonts w:ascii="黑体" w:eastAsia="黑体"/>
          <w:sz w:val="30"/>
          <w:szCs w:val="30"/>
        </w:rPr>
        <w:t>第三部分   2024年度部门决算情况说明</w:t>
      </w:r>
    </w:p>
    <w:p>
      <w:pPr>
        <w:widowControl/>
        <w:ind w:firstLine="600" w:firstLineChars="200"/>
        <w:rPr>
          <w:rFonts w:ascii="宋体" w:eastAsia="仿宋_GB2312"/>
          <w:sz w:val="30"/>
          <w:szCs w:val="30"/>
        </w:rPr>
      </w:pPr>
      <w:r>
        <w:rPr>
          <w:rFonts w:ascii="宋体" w:eastAsia="仿宋_GB2312"/>
          <w:sz w:val="30"/>
          <w:szCs w:val="30"/>
        </w:rPr>
        <w:t>一、收支决算总体情况说明</w:t>
      </w:r>
    </w:p>
    <w:p>
      <w:pPr>
        <w:widowControl/>
        <w:ind w:firstLine="600" w:firstLineChars="200"/>
        <w:rPr>
          <w:rFonts w:ascii="宋体" w:eastAsia="仿宋_GB2312"/>
          <w:sz w:val="30"/>
          <w:szCs w:val="30"/>
        </w:rPr>
      </w:pPr>
      <w:r>
        <w:rPr>
          <w:rFonts w:ascii="宋体" w:eastAsia="仿宋_GB2312"/>
          <w:sz w:val="30"/>
          <w:szCs w:val="30"/>
        </w:rPr>
        <w:t>二、收入决算情况说明</w:t>
      </w:r>
    </w:p>
    <w:p>
      <w:pPr>
        <w:widowControl/>
        <w:ind w:firstLine="600" w:firstLineChars="200"/>
        <w:rPr>
          <w:rFonts w:ascii="宋体" w:eastAsia="仿宋_GB2312"/>
          <w:sz w:val="30"/>
          <w:szCs w:val="30"/>
        </w:rPr>
      </w:pPr>
      <w:r>
        <w:rPr>
          <w:rFonts w:ascii="宋体" w:eastAsia="仿宋_GB2312"/>
          <w:sz w:val="30"/>
          <w:szCs w:val="30"/>
        </w:rPr>
        <w:t>三、支出决算情况说明</w:t>
      </w:r>
    </w:p>
    <w:p>
      <w:pPr>
        <w:widowControl/>
        <w:ind w:firstLine="600" w:firstLineChars="200"/>
        <w:rPr>
          <w:rFonts w:ascii="宋体" w:eastAsia="仿宋_GB2312"/>
          <w:sz w:val="30"/>
          <w:szCs w:val="30"/>
        </w:rPr>
      </w:pPr>
      <w:r>
        <w:rPr>
          <w:rFonts w:ascii="宋体" w:eastAsia="仿宋_GB2312"/>
          <w:sz w:val="30"/>
          <w:szCs w:val="30"/>
        </w:rPr>
        <w:t>四、财政拨款收支决算总体情况说明</w:t>
      </w:r>
    </w:p>
    <w:p>
      <w:pPr>
        <w:widowControl/>
        <w:ind w:firstLine="600" w:firstLineChars="200"/>
        <w:rPr>
          <w:rFonts w:ascii="宋体" w:eastAsia="仿宋_GB2312"/>
          <w:sz w:val="30"/>
          <w:szCs w:val="30"/>
        </w:rPr>
      </w:pPr>
      <w:r>
        <w:rPr>
          <w:rFonts w:ascii="宋体" w:eastAsia="仿宋_GB2312"/>
          <w:sz w:val="30"/>
          <w:szCs w:val="30"/>
        </w:rPr>
        <w:t>五、一般公共预算财政拨款支出决算情况说明</w:t>
      </w:r>
    </w:p>
    <w:p>
      <w:pPr>
        <w:widowControl/>
        <w:ind w:firstLine="600" w:firstLineChars="200"/>
        <w:rPr>
          <w:rFonts w:ascii="宋体" w:eastAsia="仿宋_GB2312"/>
          <w:sz w:val="30"/>
          <w:szCs w:val="30"/>
        </w:rPr>
      </w:pPr>
      <w:r>
        <w:rPr>
          <w:rFonts w:ascii="宋体" w:eastAsia="仿宋_GB2312"/>
          <w:sz w:val="30"/>
          <w:szCs w:val="30"/>
        </w:rPr>
        <w:t>六、一般公共预算财政拨款基本支出决算情况说明</w:t>
      </w:r>
    </w:p>
    <w:p>
      <w:pPr>
        <w:widowControl/>
        <w:ind w:firstLine="600" w:firstLineChars="200"/>
        <w:rPr>
          <w:rFonts w:ascii="宋体" w:eastAsia="仿宋_GB2312"/>
          <w:sz w:val="30"/>
          <w:szCs w:val="30"/>
        </w:rPr>
      </w:pPr>
      <w:r>
        <w:rPr>
          <w:rFonts w:ascii="宋体" w:eastAsia="仿宋_GB2312"/>
          <w:sz w:val="30"/>
          <w:szCs w:val="30"/>
        </w:rPr>
        <w:t>七、政府性基金预算财政拨款收支决算情况说明</w:t>
      </w:r>
    </w:p>
    <w:p>
      <w:pPr>
        <w:widowControl/>
        <w:ind w:firstLine="600" w:firstLineChars="200"/>
        <w:rPr>
          <w:rFonts w:ascii="宋体" w:eastAsia="仿宋_GB2312"/>
          <w:sz w:val="30"/>
          <w:szCs w:val="30"/>
        </w:rPr>
      </w:pPr>
      <w:r>
        <w:rPr>
          <w:rFonts w:ascii="宋体" w:eastAsia="仿宋_GB2312"/>
          <w:sz w:val="30"/>
          <w:szCs w:val="30"/>
        </w:rPr>
        <w:t>八、国有资本经营预算财政拨款收支决算情况说明</w:t>
      </w:r>
    </w:p>
    <w:p>
      <w:pPr>
        <w:widowControl/>
        <w:ind w:firstLine="600" w:firstLineChars="200"/>
        <w:rPr>
          <w:rFonts w:ascii="宋体" w:eastAsia="仿宋_GB2312"/>
          <w:sz w:val="30"/>
          <w:szCs w:val="30"/>
        </w:rPr>
      </w:pPr>
      <w:r>
        <w:rPr>
          <w:rFonts w:ascii="宋体" w:eastAsia="仿宋_GB2312"/>
          <w:sz w:val="30"/>
          <w:szCs w:val="30"/>
        </w:rPr>
        <w:t>九、财政拨款“三公”经费支出决算情况说明</w:t>
      </w:r>
    </w:p>
    <w:p>
      <w:pPr>
        <w:widowControl/>
        <w:ind w:firstLine="600" w:firstLineChars="200"/>
        <w:rPr>
          <w:rFonts w:ascii="宋体" w:eastAsia="仿宋_GB2312"/>
          <w:sz w:val="30"/>
          <w:szCs w:val="30"/>
        </w:rPr>
      </w:pPr>
      <w:r>
        <w:rPr>
          <w:rFonts w:ascii="宋体" w:eastAsia="仿宋_GB2312"/>
          <w:sz w:val="30"/>
          <w:szCs w:val="30"/>
        </w:rPr>
        <w:t>十、机关运行经费支出情况说明</w:t>
      </w:r>
    </w:p>
    <w:p>
      <w:pPr>
        <w:widowControl/>
        <w:ind w:firstLine="600" w:firstLineChars="200"/>
        <w:rPr>
          <w:rFonts w:ascii="宋体" w:eastAsia="仿宋_GB2312"/>
          <w:sz w:val="30"/>
          <w:szCs w:val="30"/>
        </w:rPr>
      </w:pPr>
      <w:r>
        <w:rPr>
          <w:rFonts w:ascii="宋体" w:eastAsia="仿宋_GB2312"/>
          <w:sz w:val="30"/>
          <w:szCs w:val="30"/>
        </w:rPr>
        <w:t>十一、政府采购支出情况说明</w:t>
      </w:r>
    </w:p>
    <w:p>
      <w:pPr>
        <w:widowControl/>
        <w:ind w:firstLine="600" w:firstLineChars="200"/>
        <w:rPr>
          <w:rFonts w:ascii="宋体" w:eastAsia="仿宋_GB2312"/>
          <w:sz w:val="30"/>
          <w:szCs w:val="30"/>
        </w:rPr>
      </w:pPr>
      <w:r>
        <w:rPr>
          <w:rFonts w:ascii="宋体" w:eastAsia="仿宋_GB2312"/>
          <w:sz w:val="30"/>
          <w:szCs w:val="30"/>
        </w:rPr>
        <w:t>十二、国有资产占有使用情况说明</w:t>
      </w:r>
    </w:p>
    <w:p>
      <w:pPr>
        <w:widowControl/>
        <w:ind w:firstLine="600" w:firstLineChars="200"/>
        <w:rPr>
          <w:rFonts w:ascii="宋体" w:eastAsia="仿宋_GB2312"/>
          <w:sz w:val="30"/>
          <w:szCs w:val="30"/>
        </w:rPr>
      </w:pPr>
      <w:r>
        <w:rPr>
          <w:rFonts w:ascii="宋体" w:eastAsia="仿宋_GB2312"/>
          <w:sz w:val="30"/>
          <w:szCs w:val="30"/>
        </w:rPr>
        <w:t>十三、预算绩效情况说明</w:t>
      </w:r>
    </w:p>
    <w:p>
      <w:pPr>
        <w:widowControl/>
        <w:ind w:firstLine="600" w:firstLineChars="200"/>
        <w:rPr>
          <w:rFonts w:ascii="宋体" w:eastAsia="仿宋_GB2312"/>
          <w:sz w:val="30"/>
          <w:szCs w:val="30"/>
        </w:rPr>
      </w:pPr>
      <w:r>
        <w:rPr>
          <w:rFonts w:ascii="宋体" w:eastAsia="仿宋_GB2312"/>
          <w:sz w:val="30"/>
          <w:szCs w:val="30"/>
        </w:rPr>
        <w:t>十四、教育、医疗卫生、社会保障和就业、住房保障、涉农补贴等民生支出情况说明</w:t>
      </w:r>
    </w:p>
    <w:p>
      <w:pPr>
        <w:widowControl/>
        <w:rPr>
          <w:rFonts w:ascii="黑体" w:eastAsia="黑体"/>
          <w:sz w:val="30"/>
          <w:szCs w:val="30"/>
        </w:rPr>
      </w:pPr>
      <w:r>
        <w:rPr>
          <w:rFonts w:ascii="黑体" w:eastAsia="黑体"/>
          <w:sz w:val="30"/>
          <w:szCs w:val="30"/>
        </w:rPr>
        <w:t>第四部分   名词解释</w:t>
      </w:r>
    </w:p>
    <w:p>
      <w:pPr>
        <w:rPr>
          <w:rFonts w:asciiTheme="minorEastAsia" w:hAnsiTheme="minorEastAsia" w:cstheme="minorEastAsia"/>
          <w:sz w:val="22"/>
          <w:szCs w:val="22"/>
          <w:highlight w:val="yellow"/>
        </w:rPr>
      </w:pPr>
    </w:p>
    <w:p>
      <w:pPr>
        <w:snapToGrid w:val="0"/>
        <w:rPr>
          <w:rFonts w:asciiTheme="minorEastAsia" w:hAnsiTheme="minorEastAsia" w:cstheme="minorEastAsia"/>
          <w:color w:val="000000" w:themeColor="text1"/>
          <w:sz w:val="22"/>
          <w:szCs w:val="22"/>
        </w:rPr>
      </w:pPr>
    </w:p>
    <w:p>
      <w:pPr>
        <w:snapToGrid w:val="0"/>
        <w:rPr>
          <w:rFonts w:asciiTheme="minorEastAsia" w:hAnsiTheme="minorEastAsia" w:cstheme="minorEastAsia"/>
          <w:color w:val="000000" w:themeColor="text1"/>
          <w:sz w:val="22"/>
          <w:szCs w:val="22"/>
        </w:rPr>
        <w:sectPr>
          <w:footerReference r:id="rId3" w:type="default"/>
          <w:pgSz w:w="11906" w:h="16838"/>
          <w:pgMar w:top="1531" w:right="1984" w:bottom="1531" w:left="2098" w:header="851" w:footer="992" w:gutter="0"/>
          <w:cols w:space="720" w:num="1"/>
          <w:docGrid w:type="lines" w:linePitch="312" w:charSpace="0"/>
        </w:sectPr>
      </w:pPr>
    </w:p>
    <w:p>
      <w:pPr>
        <w:widowControl/>
        <w:jc w:val="center"/>
        <w:outlineLvl w:val="0"/>
        <w:rPr>
          <w:rFonts w:ascii="黑体" w:eastAsia="黑体"/>
          <w:sz w:val="44"/>
          <w:szCs w:val="44"/>
        </w:rPr>
      </w:pPr>
      <w:r>
        <w:rPr>
          <w:rFonts w:ascii="黑体" w:eastAsia="黑体"/>
          <w:sz w:val="44"/>
          <w:szCs w:val="44"/>
        </w:rPr>
        <w:t>第一部分  概况</w:t>
      </w:r>
    </w:p>
    <w:p>
      <w:pPr>
        <w:widowControl/>
        <w:ind w:firstLine="600" w:firstLineChars="200"/>
        <w:outlineLvl w:val="1"/>
        <w:rPr>
          <w:rFonts w:ascii="宋体" w:eastAsia="黑体"/>
          <w:sz w:val="30"/>
          <w:szCs w:val="30"/>
        </w:rPr>
      </w:pPr>
      <w:r>
        <w:rPr>
          <w:rFonts w:ascii="宋体" w:eastAsia="黑体"/>
          <w:sz w:val="30"/>
          <w:szCs w:val="30"/>
        </w:rPr>
        <w:t>一、主要职责</w:t>
      </w:r>
    </w:p>
    <w:p>
      <w:pPr>
        <w:autoSpaceDE w:val="0"/>
        <w:autoSpaceDN w:val="0"/>
        <w:adjustRightInd w:val="0"/>
        <w:spacing w:line="600" w:lineRule="exact"/>
        <w:ind w:firstLine="600"/>
        <w:rPr>
          <w:rFonts w:ascii="Times New Roman" w:hAnsi="Times New Roman" w:eastAsia="仿宋_GB2312" w:cs="仿宋_GB2312"/>
          <w:sz w:val="30"/>
          <w:szCs w:val="30"/>
        </w:rPr>
      </w:pPr>
      <w:r>
        <w:rPr>
          <w:rFonts w:hint="eastAsia" w:ascii="Times New Roman" w:hAnsi="Times New Roman" w:eastAsia="仿宋_GB2312" w:cs="仿宋_GB2312"/>
          <w:sz w:val="30"/>
          <w:szCs w:val="30"/>
        </w:rPr>
        <w:t>天津市南开区纪委监委综合服务中心是公益一类事业单位。其主要职责：天津市南开区纪委监委综合服务中心是一类公益事业法人单位，属二级预算单位，财务独立核算，执行政府会计制度。其主要职责是承担全区纪检监察系统信息化建设工作；为纪检监察工作提供设施管理、录音录像、电子取证、司法比对等相关技术支持和服务保障；协助做好谈话对象、留置对象的安全保障及监督检查、审查调查相关辅助性工作。</w:t>
      </w:r>
    </w:p>
    <w:p>
      <w:pPr>
        <w:widowControl/>
        <w:ind w:firstLine="600" w:firstLineChars="200"/>
        <w:outlineLvl w:val="1"/>
        <w:rPr>
          <w:rFonts w:ascii="宋体" w:eastAsia="黑体"/>
          <w:sz w:val="30"/>
          <w:szCs w:val="30"/>
        </w:rPr>
      </w:pPr>
      <w:r>
        <w:rPr>
          <w:rFonts w:ascii="宋体" w:eastAsia="黑体"/>
          <w:sz w:val="30"/>
          <w:szCs w:val="30"/>
        </w:rPr>
        <w:t>二、机构设置</w:t>
      </w:r>
    </w:p>
    <w:p>
      <w:pPr>
        <w:widowControl/>
        <w:ind w:firstLine="600" w:firstLineChars="200"/>
        <w:rPr>
          <w:rFonts w:hint="eastAsia" w:ascii="Times New Roman" w:eastAsia="仿宋_GB2312"/>
          <w:sz w:val="30"/>
          <w:szCs w:val="30"/>
          <w:lang w:eastAsia="zh-CN"/>
        </w:rPr>
      </w:pPr>
      <w:r>
        <w:rPr>
          <w:rFonts w:ascii="Times New Roman" w:eastAsia="仿宋_GB2312"/>
          <w:sz w:val="30"/>
          <w:szCs w:val="30"/>
        </w:rPr>
        <w:t>天津市南开区纪委监委综合服务中心内设</w:t>
      </w:r>
      <w:r>
        <w:rPr>
          <w:rFonts w:hint="eastAsia" w:ascii="Times New Roman" w:eastAsia="仿宋_GB2312"/>
          <w:sz w:val="30"/>
          <w:szCs w:val="30"/>
        </w:rPr>
        <w:t>0</w:t>
      </w:r>
      <w:r>
        <w:rPr>
          <w:rFonts w:ascii="Times New Roman" w:eastAsia="仿宋_GB2312"/>
          <w:sz w:val="30"/>
          <w:szCs w:val="30"/>
        </w:rPr>
        <w:t>个职能部门。纳入天津市南开区纪委监委综合服务中心2024年度部门决算编制范围的单位包括：</w:t>
      </w:r>
      <w:r>
        <w:rPr>
          <w:rFonts w:hint="eastAsia" w:ascii="Times New Roman" w:eastAsia="仿宋_GB2312"/>
          <w:sz w:val="30"/>
          <w:szCs w:val="30"/>
        </w:rPr>
        <w:t>天津市南开区纪委监委综合服务中心</w:t>
      </w:r>
      <w:r>
        <w:rPr>
          <w:rFonts w:hint="eastAsia" w:ascii="Times New Roman" w:eastAsia="仿宋_GB2312"/>
          <w:sz w:val="30"/>
          <w:szCs w:val="30"/>
          <w:lang w:eastAsia="zh-CN"/>
        </w:rPr>
        <w:t>。</w:t>
      </w:r>
    </w:p>
    <w:p>
      <w:pPr>
        <w:rPr>
          <w:rFonts w:asciiTheme="minorEastAsia" w:hAnsiTheme="minorEastAsia" w:cstheme="minorEastAsia"/>
          <w:color w:val="000000"/>
          <w:sz w:val="22"/>
          <w:szCs w:val="22"/>
          <w:shd w:val="clear" w:color="auto" w:fill="FFFFFF"/>
        </w:rPr>
        <w:sectPr>
          <w:headerReference r:id="rId4" w:type="default"/>
          <w:footerReference r:id="rId5" w:type="default"/>
          <w:pgSz w:w="11906" w:h="16838"/>
          <w:pgMar w:top="1531" w:right="1984" w:bottom="1531" w:left="2098" w:header="851" w:footer="992" w:gutter="0"/>
          <w:pgNumType w:start="1"/>
          <w:cols w:space="720" w:num="1"/>
          <w:docGrid w:type="lines" w:linePitch="312" w:charSpace="0"/>
        </w:sectPr>
      </w:pPr>
    </w:p>
    <w:p>
      <w:pPr>
        <w:widowControl/>
        <w:jc w:val="center"/>
        <w:outlineLvl w:val="0"/>
        <w:rPr>
          <w:rFonts w:ascii="黑体" w:eastAsia="黑体"/>
          <w:sz w:val="44"/>
          <w:szCs w:val="44"/>
        </w:rPr>
      </w:pPr>
      <w:r>
        <w:rPr>
          <w:rFonts w:ascii="黑体" w:eastAsia="黑体"/>
          <w:sz w:val="44"/>
          <w:szCs w:val="44"/>
        </w:rPr>
        <w:t>第二部分  2024年度部门决算报表</w:t>
      </w:r>
    </w:p>
    <w:p>
      <w:pPr>
        <w:pStyle w:val="28"/>
        <w:widowControl/>
        <w:jc w:val="both"/>
        <w:rPr>
          <w:rFonts w:ascii="仿宋" w:hAnsi="仿宋" w:eastAsia="仿宋" w:cs="仿宋"/>
          <w:b/>
          <w:bCs/>
        </w:rPr>
      </w:pPr>
      <w:r>
        <w:rPr>
          <w:rFonts w:hint="eastAsia" w:ascii="仿宋" w:hAnsi="仿宋" w:eastAsia="仿宋" w:cs="仿宋"/>
          <w:b/>
          <w:bCs/>
        </w:rPr>
        <w:t>一、收入支出决算总表</w:t>
      </w:r>
    </w:p>
    <w:tbl>
      <w:tblPr>
        <w:tblStyle w:val="11"/>
        <w:tblW w:w="13989" w:type="dxa"/>
        <w:tblInd w:w="0" w:type="dxa"/>
        <w:tblLayout w:type="fixed"/>
        <w:tblCellMar>
          <w:top w:w="0" w:type="dxa"/>
          <w:left w:w="108" w:type="dxa"/>
          <w:bottom w:w="0" w:type="dxa"/>
          <w:right w:w="108" w:type="dxa"/>
        </w:tblCellMar>
      </w:tblPr>
      <w:tblGrid>
        <w:gridCol w:w="4697"/>
        <w:gridCol w:w="2650"/>
        <w:gridCol w:w="3598"/>
        <w:gridCol w:w="3044"/>
      </w:tblGrid>
      <w:tr>
        <w:tblPrEx>
          <w:tblCellMar>
            <w:top w:w="0" w:type="dxa"/>
            <w:left w:w="108" w:type="dxa"/>
            <w:bottom w:w="0" w:type="dxa"/>
            <w:right w:w="108" w:type="dxa"/>
          </w:tblCellMar>
        </w:tblPrEx>
        <w:trPr>
          <w:trHeight w:val="320" w:hRule="atLeast"/>
        </w:trPr>
        <w:tc>
          <w:tcPr>
            <w:tcW w:w="10945" w:type="dxa"/>
            <w:gridSpan w:val="3"/>
            <w:tcBorders>
              <w:top w:val="nil"/>
              <w:left w:val="nil"/>
              <w:bottom w:val="nil"/>
              <w:right w:val="nil"/>
            </w:tcBorders>
            <w:shd w:val="clear" w:color="auto" w:fill="auto"/>
            <w:noWrap/>
            <w:vAlign w:val="bottom"/>
          </w:tcPr>
          <w:p>
            <w:pPr>
              <w:widowControl/>
              <w:textAlignment w:val="bottom"/>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部门（单位）：天津市南开区纪委监委综合服务中心 </w:t>
            </w:r>
          </w:p>
        </w:tc>
        <w:tc>
          <w:tcPr>
            <w:tcW w:w="3044" w:type="dxa"/>
            <w:tcBorders>
              <w:top w:val="nil"/>
              <w:left w:val="nil"/>
              <w:bottom w:val="nil"/>
              <w:right w:val="nil"/>
            </w:tcBorders>
            <w:shd w:val="clear" w:color="auto" w:fill="auto"/>
            <w:noWrap/>
            <w:vAlign w:val="bottom"/>
          </w:tcPr>
          <w:p>
            <w:pPr>
              <w:widowControl/>
              <w:textAlignment w:val="bottom"/>
              <w:rPr>
                <w:rFonts w:asciiTheme="minorEastAsia" w:hAnsiTheme="minorEastAsia" w:cstheme="minorEastAsia"/>
                <w:color w:val="000000"/>
                <w:sz w:val="22"/>
                <w:szCs w:val="22"/>
              </w:rPr>
            </w:pPr>
            <w:r>
              <w:rPr>
                <w:rStyle w:val="27"/>
                <w:rFonts w:asciiTheme="minorEastAsia" w:hAnsiTheme="minorEastAsia" w:eastAsiaTheme="minorEastAsia" w:cstheme="minorEastAsia"/>
                <w:sz w:val="22"/>
                <w:szCs w:val="22"/>
              </w:rPr>
              <w:t>单位：元</w:t>
            </w:r>
          </w:p>
        </w:tc>
      </w:tr>
      <w:tr>
        <w:tblPrEx>
          <w:tblCellMar>
            <w:top w:w="0" w:type="dxa"/>
            <w:left w:w="108" w:type="dxa"/>
            <w:bottom w:w="0" w:type="dxa"/>
            <w:right w:w="108" w:type="dxa"/>
          </w:tblCellMar>
        </w:tblPrEx>
        <w:trPr>
          <w:trHeight w:val="308" w:hRule="atLeast"/>
        </w:trPr>
        <w:tc>
          <w:tcPr>
            <w:tcW w:w="4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收入</w:t>
            </w:r>
          </w:p>
        </w:tc>
        <w:tc>
          <w:tcPr>
            <w:tcW w:w="2650"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asciiTheme="minorEastAsia" w:hAnsiTheme="minorEastAsia" w:cstheme="minorEastAsia"/>
                <w:color w:val="000000"/>
                <w:sz w:val="22"/>
                <w:szCs w:val="22"/>
              </w:rPr>
            </w:pPr>
          </w:p>
        </w:tc>
        <w:tc>
          <w:tcPr>
            <w:tcW w:w="3598" w:type="dxa"/>
            <w:tcBorders>
              <w:top w:val="single" w:color="000000" w:sz="4" w:space="0"/>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支出</w:t>
            </w:r>
          </w:p>
        </w:tc>
        <w:tc>
          <w:tcPr>
            <w:tcW w:w="3044"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项    目</w:t>
            </w:r>
          </w:p>
        </w:tc>
        <w:tc>
          <w:tcPr>
            <w:tcW w:w="265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金额</w:t>
            </w:r>
          </w:p>
        </w:tc>
        <w:tc>
          <w:tcPr>
            <w:tcW w:w="3598"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项    目</w:t>
            </w:r>
          </w:p>
        </w:tc>
        <w:tc>
          <w:tcPr>
            <w:tcW w:w="3044"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金额</w:t>
            </w:r>
          </w:p>
        </w:tc>
      </w:tr>
      <w:tr>
        <w:tblPrEx>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一、一般公共预算财政拨款收入</w:t>
            </w:r>
          </w:p>
        </w:tc>
        <w:tc>
          <w:tcPr>
            <w:tcW w:w="26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1,159,246.94</w:t>
            </w:r>
          </w:p>
        </w:tc>
        <w:tc>
          <w:tcPr>
            <w:tcW w:w="3598"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一、一般公共服务支出</w:t>
            </w:r>
          </w:p>
        </w:tc>
        <w:tc>
          <w:tcPr>
            <w:tcW w:w="3044"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994,136.52</w:t>
            </w:r>
          </w:p>
        </w:tc>
      </w:tr>
      <w:tr>
        <w:tblPrEx>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二、政府性基金预算财政拨款收入</w:t>
            </w:r>
          </w:p>
        </w:tc>
        <w:tc>
          <w:tcPr>
            <w:tcW w:w="26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3598"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二、公共安全支出</w:t>
            </w:r>
          </w:p>
        </w:tc>
        <w:tc>
          <w:tcPr>
            <w:tcW w:w="3044"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三、国有资本经营预算财政拨款收入</w:t>
            </w:r>
          </w:p>
        </w:tc>
        <w:tc>
          <w:tcPr>
            <w:tcW w:w="26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3598"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三、教育支出</w:t>
            </w:r>
          </w:p>
        </w:tc>
        <w:tc>
          <w:tcPr>
            <w:tcW w:w="3044"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四、财政专户管理资金</w:t>
            </w:r>
          </w:p>
        </w:tc>
        <w:tc>
          <w:tcPr>
            <w:tcW w:w="26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3598"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四、科学技术支出</w:t>
            </w:r>
          </w:p>
        </w:tc>
        <w:tc>
          <w:tcPr>
            <w:tcW w:w="3044"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五、事业收入</w:t>
            </w:r>
          </w:p>
        </w:tc>
        <w:tc>
          <w:tcPr>
            <w:tcW w:w="26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3598"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五、文化旅游体育与传媒支出</w:t>
            </w:r>
          </w:p>
        </w:tc>
        <w:tc>
          <w:tcPr>
            <w:tcW w:w="3044"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六、事业单位经营收入</w:t>
            </w:r>
          </w:p>
        </w:tc>
        <w:tc>
          <w:tcPr>
            <w:tcW w:w="26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3598"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六、社会保障和就业支出</w:t>
            </w:r>
          </w:p>
        </w:tc>
        <w:tc>
          <w:tcPr>
            <w:tcW w:w="3044"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116,548.32</w:t>
            </w:r>
          </w:p>
        </w:tc>
      </w:tr>
      <w:tr>
        <w:tblPrEx>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七、上级补助收入</w:t>
            </w:r>
          </w:p>
        </w:tc>
        <w:tc>
          <w:tcPr>
            <w:tcW w:w="26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3598"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七、卫生健康支出</w:t>
            </w:r>
          </w:p>
        </w:tc>
        <w:tc>
          <w:tcPr>
            <w:tcW w:w="3044"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48,562.10</w:t>
            </w:r>
          </w:p>
        </w:tc>
      </w:tr>
      <w:tr>
        <w:tblPrEx>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八、附属单位上缴收入</w:t>
            </w:r>
          </w:p>
        </w:tc>
        <w:tc>
          <w:tcPr>
            <w:tcW w:w="26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3598"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八、节能环保支出</w:t>
            </w:r>
          </w:p>
        </w:tc>
        <w:tc>
          <w:tcPr>
            <w:tcW w:w="3044"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九、其他收入</w:t>
            </w:r>
          </w:p>
        </w:tc>
        <w:tc>
          <w:tcPr>
            <w:tcW w:w="26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3598"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九、城乡社区支出</w:t>
            </w:r>
          </w:p>
        </w:tc>
        <w:tc>
          <w:tcPr>
            <w:tcW w:w="3044"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vAlign w:val="center"/>
          </w:tcPr>
          <w:p>
            <w:pPr>
              <w:rPr>
                <w:rFonts w:asciiTheme="minorEastAsia" w:hAnsiTheme="minorEastAsia" w:cstheme="minorEastAsia"/>
                <w:color w:val="000000"/>
                <w:sz w:val="22"/>
                <w:szCs w:val="22"/>
              </w:rPr>
            </w:pPr>
          </w:p>
        </w:tc>
        <w:tc>
          <w:tcPr>
            <w:tcW w:w="2650" w:type="dxa"/>
            <w:tcBorders>
              <w:top w:val="nil"/>
              <w:left w:val="nil"/>
              <w:bottom w:val="single" w:color="000000" w:sz="4" w:space="0"/>
              <w:right w:val="single" w:color="000000" w:sz="4" w:space="0"/>
            </w:tcBorders>
            <w:shd w:val="clear" w:color="auto" w:fill="auto"/>
            <w:vAlign w:val="center"/>
          </w:tcPr>
          <w:p>
            <w:pPr>
              <w:rPr>
                <w:rFonts w:asciiTheme="minorEastAsia" w:hAnsiTheme="minorEastAsia" w:cstheme="minorEastAsia"/>
                <w:color w:val="000000"/>
                <w:sz w:val="22"/>
                <w:szCs w:val="22"/>
              </w:rPr>
            </w:pPr>
          </w:p>
        </w:tc>
        <w:tc>
          <w:tcPr>
            <w:tcW w:w="3598"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十、农林水支出</w:t>
            </w:r>
          </w:p>
        </w:tc>
        <w:tc>
          <w:tcPr>
            <w:tcW w:w="3044"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vAlign w:val="center"/>
          </w:tcPr>
          <w:p>
            <w:pPr>
              <w:rPr>
                <w:rFonts w:asciiTheme="minorEastAsia" w:hAnsiTheme="minorEastAsia" w:cstheme="minorEastAsia"/>
                <w:color w:val="000000"/>
                <w:sz w:val="22"/>
                <w:szCs w:val="22"/>
              </w:rPr>
            </w:pPr>
          </w:p>
        </w:tc>
        <w:tc>
          <w:tcPr>
            <w:tcW w:w="2650" w:type="dxa"/>
            <w:tcBorders>
              <w:top w:val="nil"/>
              <w:left w:val="nil"/>
              <w:bottom w:val="single" w:color="000000" w:sz="4" w:space="0"/>
              <w:right w:val="single" w:color="000000" w:sz="4" w:space="0"/>
            </w:tcBorders>
            <w:shd w:val="clear" w:color="auto" w:fill="auto"/>
            <w:vAlign w:val="center"/>
          </w:tcPr>
          <w:p>
            <w:pPr>
              <w:rPr>
                <w:rFonts w:asciiTheme="minorEastAsia" w:hAnsiTheme="minorEastAsia" w:cstheme="minorEastAsia"/>
                <w:color w:val="000000"/>
                <w:sz w:val="22"/>
                <w:szCs w:val="22"/>
              </w:rPr>
            </w:pPr>
          </w:p>
        </w:tc>
        <w:tc>
          <w:tcPr>
            <w:tcW w:w="3598"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十一、交通运输支出</w:t>
            </w:r>
          </w:p>
        </w:tc>
        <w:tc>
          <w:tcPr>
            <w:tcW w:w="3044"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vAlign w:val="center"/>
          </w:tcPr>
          <w:p>
            <w:pPr>
              <w:rPr>
                <w:rFonts w:asciiTheme="minorEastAsia" w:hAnsiTheme="minorEastAsia" w:cstheme="minorEastAsia"/>
                <w:color w:val="000000"/>
                <w:sz w:val="22"/>
                <w:szCs w:val="22"/>
              </w:rPr>
            </w:pPr>
          </w:p>
        </w:tc>
        <w:tc>
          <w:tcPr>
            <w:tcW w:w="2650" w:type="dxa"/>
            <w:tcBorders>
              <w:top w:val="nil"/>
              <w:left w:val="nil"/>
              <w:bottom w:val="single" w:color="000000" w:sz="4" w:space="0"/>
              <w:right w:val="single" w:color="000000" w:sz="4" w:space="0"/>
            </w:tcBorders>
            <w:shd w:val="clear" w:color="auto" w:fill="auto"/>
            <w:vAlign w:val="center"/>
          </w:tcPr>
          <w:p>
            <w:pPr>
              <w:rPr>
                <w:rFonts w:asciiTheme="minorEastAsia" w:hAnsiTheme="minorEastAsia" w:cstheme="minorEastAsia"/>
                <w:color w:val="000000"/>
                <w:sz w:val="22"/>
                <w:szCs w:val="22"/>
              </w:rPr>
            </w:pPr>
          </w:p>
        </w:tc>
        <w:tc>
          <w:tcPr>
            <w:tcW w:w="3598"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十二、资源勘探工业信息等支出</w:t>
            </w:r>
          </w:p>
        </w:tc>
        <w:tc>
          <w:tcPr>
            <w:tcW w:w="3044"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vAlign w:val="center"/>
          </w:tcPr>
          <w:p>
            <w:pPr>
              <w:rPr>
                <w:rFonts w:asciiTheme="minorEastAsia" w:hAnsiTheme="minorEastAsia" w:cstheme="minorEastAsia"/>
                <w:color w:val="000000"/>
                <w:sz w:val="22"/>
                <w:szCs w:val="22"/>
              </w:rPr>
            </w:pPr>
          </w:p>
        </w:tc>
        <w:tc>
          <w:tcPr>
            <w:tcW w:w="2650" w:type="dxa"/>
            <w:tcBorders>
              <w:top w:val="nil"/>
              <w:left w:val="nil"/>
              <w:bottom w:val="single" w:color="000000" w:sz="4" w:space="0"/>
              <w:right w:val="single" w:color="000000" w:sz="4" w:space="0"/>
            </w:tcBorders>
            <w:shd w:val="clear" w:color="auto" w:fill="auto"/>
            <w:vAlign w:val="center"/>
          </w:tcPr>
          <w:p>
            <w:pPr>
              <w:rPr>
                <w:rFonts w:asciiTheme="minorEastAsia" w:hAnsiTheme="minorEastAsia" w:cstheme="minorEastAsia"/>
                <w:color w:val="000000"/>
                <w:sz w:val="22"/>
                <w:szCs w:val="22"/>
              </w:rPr>
            </w:pPr>
          </w:p>
        </w:tc>
        <w:tc>
          <w:tcPr>
            <w:tcW w:w="3598"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十三、商业服务业等支出</w:t>
            </w:r>
          </w:p>
        </w:tc>
        <w:tc>
          <w:tcPr>
            <w:tcW w:w="3044"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vAlign w:val="center"/>
          </w:tcPr>
          <w:p>
            <w:pPr>
              <w:rPr>
                <w:rFonts w:asciiTheme="minorEastAsia" w:hAnsiTheme="minorEastAsia" w:cstheme="minorEastAsia"/>
                <w:color w:val="000000"/>
                <w:sz w:val="22"/>
                <w:szCs w:val="22"/>
              </w:rPr>
            </w:pPr>
          </w:p>
        </w:tc>
        <w:tc>
          <w:tcPr>
            <w:tcW w:w="2650" w:type="dxa"/>
            <w:tcBorders>
              <w:top w:val="nil"/>
              <w:left w:val="nil"/>
              <w:bottom w:val="single" w:color="000000" w:sz="4" w:space="0"/>
              <w:right w:val="single" w:color="000000" w:sz="4" w:space="0"/>
            </w:tcBorders>
            <w:shd w:val="clear" w:color="auto" w:fill="auto"/>
            <w:vAlign w:val="center"/>
          </w:tcPr>
          <w:p>
            <w:pPr>
              <w:rPr>
                <w:rFonts w:asciiTheme="minorEastAsia" w:hAnsiTheme="minorEastAsia" w:cstheme="minorEastAsia"/>
                <w:color w:val="000000"/>
                <w:sz w:val="22"/>
                <w:szCs w:val="22"/>
              </w:rPr>
            </w:pPr>
          </w:p>
        </w:tc>
        <w:tc>
          <w:tcPr>
            <w:tcW w:w="3598"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十四、金融支出</w:t>
            </w:r>
          </w:p>
        </w:tc>
        <w:tc>
          <w:tcPr>
            <w:tcW w:w="3044"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vAlign w:val="center"/>
          </w:tcPr>
          <w:p>
            <w:pPr>
              <w:rPr>
                <w:rFonts w:asciiTheme="minorEastAsia" w:hAnsiTheme="minorEastAsia" w:cstheme="minorEastAsia"/>
                <w:color w:val="000000"/>
                <w:sz w:val="22"/>
                <w:szCs w:val="22"/>
              </w:rPr>
            </w:pPr>
          </w:p>
        </w:tc>
        <w:tc>
          <w:tcPr>
            <w:tcW w:w="2650" w:type="dxa"/>
            <w:tcBorders>
              <w:top w:val="nil"/>
              <w:left w:val="nil"/>
              <w:bottom w:val="single" w:color="000000" w:sz="4" w:space="0"/>
              <w:right w:val="single" w:color="000000" w:sz="4" w:space="0"/>
            </w:tcBorders>
            <w:shd w:val="clear" w:color="auto" w:fill="auto"/>
            <w:vAlign w:val="center"/>
          </w:tcPr>
          <w:p>
            <w:pPr>
              <w:rPr>
                <w:rFonts w:asciiTheme="minorEastAsia" w:hAnsiTheme="minorEastAsia" w:cstheme="minorEastAsia"/>
                <w:color w:val="000000"/>
                <w:sz w:val="22"/>
                <w:szCs w:val="22"/>
              </w:rPr>
            </w:pPr>
          </w:p>
        </w:tc>
        <w:tc>
          <w:tcPr>
            <w:tcW w:w="3598"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十五、援助其他地区支出</w:t>
            </w:r>
          </w:p>
        </w:tc>
        <w:tc>
          <w:tcPr>
            <w:tcW w:w="3044"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vAlign w:val="center"/>
          </w:tcPr>
          <w:p>
            <w:pPr>
              <w:rPr>
                <w:rFonts w:asciiTheme="minorEastAsia" w:hAnsiTheme="minorEastAsia" w:cstheme="minorEastAsia"/>
                <w:color w:val="000000"/>
                <w:sz w:val="22"/>
                <w:szCs w:val="22"/>
              </w:rPr>
            </w:pPr>
          </w:p>
        </w:tc>
        <w:tc>
          <w:tcPr>
            <w:tcW w:w="2650" w:type="dxa"/>
            <w:tcBorders>
              <w:top w:val="nil"/>
              <w:left w:val="nil"/>
              <w:bottom w:val="single" w:color="000000" w:sz="4" w:space="0"/>
              <w:right w:val="single" w:color="000000" w:sz="4" w:space="0"/>
            </w:tcBorders>
            <w:shd w:val="clear" w:color="auto" w:fill="auto"/>
            <w:vAlign w:val="center"/>
          </w:tcPr>
          <w:p>
            <w:pPr>
              <w:rPr>
                <w:rFonts w:asciiTheme="minorEastAsia" w:hAnsiTheme="minorEastAsia" w:cstheme="minorEastAsia"/>
                <w:color w:val="000000"/>
                <w:sz w:val="22"/>
                <w:szCs w:val="22"/>
              </w:rPr>
            </w:pPr>
          </w:p>
        </w:tc>
        <w:tc>
          <w:tcPr>
            <w:tcW w:w="3598"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十六、自然资源海洋气象等支出</w:t>
            </w:r>
          </w:p>
        </w:tc>
        <w:tc>
          <w:tcPr>
            <w:tcW w:w="3044"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vAlign w:val="center"/>
          </w:tcPr>
          <w:p>
            <w:pPr>
              <w:rPr>
                <w:rFonts w:asciiTheme="minorEastAsia" w:hAnsiTheme="minorEastAsia" w:cstheme="minorEastAsia"/>
                <w:color w:val="000000"/>
                <w:sz w:val="22"/>
                <w:szCs w:val="22"/>
              </w:rPr>
            </w:pPr>
          </w:p>
        </w:tc>
        <w:tc>
          <w:tcPr>
            <w:tcW w:w="2650" w:type="dxa"/>
            <w:tcBorders>
              <w:top w:val="nil"/>
              <w:left w:val="nil"/>
              <w:bottom w:val="single" w:color="000000" w:sz="4" w:space="0"/>
              <w:right w:val="single" w:color="000000" w:sz="4" w:space="0"/>
            </w:tcBorders>
            <w:shd w:val="clear" w:color="auto" w:fill="auto"/>
            <w:vAlign w:val="center"/>
          </w:tcPr>
          <w:p>
            <w:pPr>
              <w:rPr>
                <w:rFonts w:asciiTheme="minorEastAsia" w:hAnsiTheme="minorEastAsia" w:cstheme="minorEastAsia"/>
                <w:color w:val="000000"/>
                <w:sz w:val="22"/>
                <w:szCs w:val="22"/>
              </w:rPr>
            </w:pPr>
          </w:p>
        </w:tc>
        <w:tc>
          <w:tcPr>
            <w:tcW w:w="3598"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十七、住房保障支出</w:t>
            </w:r>
          </w:p>
        </w:tc>
        <w:tc>
          <w:tcPr>
            <w:tcW w:w="3044"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vAlign w:val="center"/>
          </w:tcPr>
          <w:p>
            <w:pPr>
              <w:rPr>
                <w:rFonts w:asciiTheme="minorEastAsia" w:hAnsiTheme="minorEastAsia" w:cstheme="minorEastAsia"/>
                <w:color w:val="000000"/>
                <w:sz w:val="22"/>
                <w:szCs w:val="22"/>
              </w:rPr>
            </w:pPr>
          </w:p>
        </w:tc>
        <w:tc>
          <w:tcPr>
            <w:tcW w:w="2650" w:type="dxa"/>
            <w:tcBorders>
              <w:top w:val="nil"/>
              <w:left w:val="nil"/>
              <w:bottom w:val="single" w:color="000000" w:sz="4" w:space="0"/>
              <w:right w:val="single" w:color="000000" w:sz="4" w:space="0"/>
            </w:tcBorders>
            <w:shd w:val="clear" w:color="auto" w:fill="auto"/>
            <w:vAlign w:val="center"/>
          </w:tcPr>
          <w:p>
            <w:pPr>
              <w:rPr>
                <w:rFonts w:asciiTheme="minorEastAsia" w:hAnsiTheme="minorEastAsia" w:cstheme="minorEastAsia"/>
                <w:color w:val="000000"/>
                <w:sz w:val="22"/>
                <w:szCs w:val="22"/>
              </w:rPr>
            </w:pPr>
          </w:p>
        </w:tc>
        <w:tc>
          <w:tcPr>
            <w:tcW w:w="3598"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十八、粮油物资储备支出</w:t>
            </w:r>
          </w:p>
        </w:tc>
        <w:tc>
          <w:tcPr>
            <w:tcW w:w="3044"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vAlign w:val="center"/>
          </w:tcPr>
          <w:p>
            <w:pPr>
              <w:rPr>
                <w:rFonts w:asciiTheme="minorEastAsia" w:hAnsiTheme="minorEastAsia" w:cstheme="minorEastAsia"/>
                <w:color w:val="000000"/>
                <w:sz w:val="22"/>
                <w:szCs w:val="22"/>
              </w:rPr>
            </w:pPr>
          </w:p>
        </w:tc>
        <w:tc>
          <w:tcPr>
            <w:tcW w:w="2650" w:type="dxa"/>
            <w:tcBorders>
              <w:top w:val="nil"/>
              <w:left w:val="nil"/>
              <w:bottom w:val="single" w:color="000000" w:sz="4" w:space="0"/>
              <w:right w:val="single" w:color="000000" w:sz="4" w:space="0"/>
            </w:tcBorders>
            <w:shd w:val="clear" w:color="auto" w:fill="auto"/>
            <w:vAlign w:val="center"/>
          </w:tcPr>
          <w:p>
            <w:pPr>
              <w:rPr>
                <w:rFonts w:asciiTheme="minorEastAsia" w:hAnsiTheme="minorEastAsia" w:cstheme="minorEastAsia"/>
                <w:color w:val="000000"/>
                <w:sz w:val="22"/>
                <w:szCs w:val="22"/>
              </w:rPr>
            </w:pPr>
          </w:p>
        </w:tc>
        <w:tc>
          <w:tcPr>
            <w:tcW w:w="3598"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十九、国有资本经营预算支出</w:t>
            </w:r>
          </w:p>
        </w:tc>
        <w:tc>
          <w:tcPr>
            <w:tcW w:w="3044"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vAlign w:val="center"/>
          </w:tcPr>
          <w:p>
            <w:pPr>
              <w:rPr>
                <w:rFonts w:asciiTheme="minorEastAsia" w:hAnsiTheme="minorEastAsia" w:cstheme="minorEastAsia"/>
                <w:color w:val="000000"/>
                <w:sz w:val="22"/>
                <w:szCs w:val="22"/>
              </w:rPr>
            </w:pPr>
          </w:p>
        </w:tc>
        <w:tc>
          <w:tcPr>
            <w:tcW w:w="2650" w:type="dxa"/>
            <w:tcBorders>
              <w:top w:val="nil"/>
              <w:left w:val="nil"/>
              <w:bottom w:val="single" w:color="000000" w:sz="4" w:space="0"/>
              <w:right w:val="single" w:color="000000" w:sz="4" w:space="0"/>
            </w:tcBorders>
            <w:shd w:val="clear" w:color="auto" w:fill="auto"/>
            <w:vAlign w:val="center"/>
          </w:tcPr>
          <w:p>
            <w:pPr>
              <w:rPr>
                <w:rFonts w:asciiTheme="minorEastAsia" w:hAnsiTheme="minorEastAsia" w:cstheme="minorEastAsia"/>
                <w:color w:val="000000"/>
                <w:sz w:val="22"/>
                <w:szCs w:val="22"/>
              </w:rPr>
            </w:pPr>
          </w:p>
        </w:tc>
        <w:tc>
          <w:tcPr>
            <w:tcW w:w="3598"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二十、灾害防治及应急管理支出</w:t>
            </w:r>
          </w:p>
        </w:tc>
        <w:tc>
          <w:tcPr>
            <w:tcW w:w="3044"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vAlign w:val="center"/>
          </w:tcPr>
          <w:p>
            <w:pPr>
              <w:rPr>
                <w:rFonts w:asciiTheme="minorEastAsia" w:hAnsiTheme="minorEastAsia" w:cstheme="minorEastAsia"/>
                <w:color w:val="000000"/>
                <w:sz w:val="22"/>
                <w:szCs w:val="22"/>
              </w:rPr>
            </w:pPr>
          </w:p>
        </w:tc>
        <w:tc>
          <w:tcPr>
            <w:tcW w:w="2650" w:type="dxa"/>
            <w:tcBorders>
              <w:top w:val="nil"/>
              <w:left w:val="nil"/>
              <w:bottom w:val="single" w:color="000000" w:sz="4" w:space="0"/>
              <w:right w:val="single" w:color="000000" w:sz="4" w:space="0"/>
            </w:tcBorders>
            <w:shd w:val="clear" w:color="auto" w:fill="auto"/>
            <w:vAlign w:val="center"/>
          </w:tcPr>
          <w:p>
            <w:pPr>
              <w:rPr>
                <w:rFonts w:asciiTheme="minorEastAsia" w:hAnsiTheme="minorEastAsia" w:cstheme="minorEastAsia"/>
                <w:color w:val="000000"/>
                <w:sz w:val="22"/>
                <w:szCs w:val="22"/>
              </w:rPr>
            </w:pPr>
          </w:p>
        </w:tc>
        <w:tc>
          <w:tcPr>
            <w:tcW w:w="3598"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二十一、其他支出</w:t>
            </w:r>
          </w:p>
        </w:tc>
        <w:tc>
          <w:tcPr>
            <w:tcW w:w="3044"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vAlign w:val="center"/>
          </w:tcPr>
          <w:p>
            <w:pPr>
              <w:rPr>
                <w:rFonts w:asciiTheme="minorEastAsia" w:hAnsiTheme="minorEastAsia" w:cstheme="minorEastAsia"/>
                <w:color w:val="000000"/>
                <w:sz w:val="22"/>
                <w:szCs w:val="22"/>
              </w:rPr>
            </w:pPr>
          </w:p>
        </w:tc>
        <w:tc>
          <w:tcPr>
            <w:tcW w:w="2650" w:type="dxa"/>
            <w:tcBorders>
              <w:top w:val="nil"/>
              <w:left w:val="nil"/>
              <w:bottom w:val="single" w:color="000000" w:sz="4" w:space="0"/>
              <w:right w:val="single" w:color="000000" w:sz="4" w:space="0"/>
            </w:tcBorders>
            <w:shd w:val="clear" w:color="auto" w:fill="auto"/>
            <w:vAlign w:val="center"/>
          </w:tcPr>
          <w:p>
            <w:pPr>
              <w:rPr>
                <w:rFonts w:asciiTheme="minorEastAsia" w:hAnsiTheme="minorEastAsia" w:cstheme="minorEastAsia"/>
                <w:color w:val="000000"/>
                <w:sz w:val="22"/>
                <w:szCs w:val="22"/>
              </w:rPr>
            </w:pPr>
          </w:p>
        </w:tc>
        <w:tc>
          <w:tcPr>
            <w:tcW w:w="3598"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二十二、债务付息支出</w:t>
            </w:r>
          </w:p>
        </w:tc>
        <w:tc>
          <w:tcPr>
            <w:tcW w:w="3044"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vAlign w:val="center"/>
          </w:tcPr>
          <w:p>
            <w:pPr>
              <w:rPr>
                <w:rFonts w:asciiTheme="minorEastAsia" w:hAnsiTheme="minorEastAsia" w:cstheme="minorEastAsia"/>
                <w:color w:val="000000"/>
                <w:sz w:val="22"/>
                <w:szCs w:val="22"/>
              </w:rPr>
            </w:pPr>
          </w:p>
        </w:tc>
        <w:tc>
          <w:tcPr>
            <w:tcW w:w="2650" w:type="dxa"/>
            <w:tcBorders>
              <w:top w:val="nil"/>
              <w:left w:val="nil"/>
              <w:bottom w:val="single" w:color="000000" w:sz="4" w:space="0"/>
              <w:right w:val="single" w:color="000000" w:sz="4" w:space="0"/>
            </w:tcBorders>
            <w:shd w:val="clear" w:color="auto" w:fill="auto"/>
            <w:vAlign w:val="center"/>
          </w:tcPr>
          <w:p>
            <w:pPr>
              <w:rPr>
                <w:rFonts w:asciiTheme="minorEastAsia" w:hAnsiTheme="minorEastAsia" w:cstheme="minorEastAsia"/>
                <w:color w:val="000000"/>
                <w:sz w:val="22"/>
                <w:szCs w:val="22"/>
              </w:rPr>
            </w:pPr>
          </w:p>
        </w:tc>
        <w:tc>
          <w:tcPr>
            <w:tcW w:w="3598"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二十三、抗疫特别国债安排的支出</w:t>
            </w:r>
          </w:p>
        </w:tc>
        <w:tc>
          <w:tcPr>
            <w:tcW w:w="3044"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本年收入合计</w:t>
            </w:r>
          </w:p>
        </w:tc>
        <w:tc>
          <w:tcPr>
            <w:tcW w:w="265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1,159,246.94</w:t>
            </w:r>
          </w:p>
        </w:tc>
        <w:tc>
          <w:tcPr>
            <w:tcW w:w="3598"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本年支出合计</w:t>
            </w:r>
          </w:p>
        </w:tc>
        <w:tc>
          <w:tcPr>
            <w:tcW w:w="3044"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1,159,246.94</w:t>
            </w:r>
          </w:p>
        </w:tc>
      </w:tr>
      <w:tr>
        <w:tblPrEx>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十、使用非财政拨款结余</w:t>
            </w:r>
          </w:p>
        </w:tc>
        <w:tc>
          <w:tcPr>
            <w:tcW w:w="26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3598"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二十四、结余分配</w:t>
            </w:r>
          </w:p>
        </w:tc>
        <w:tc>
          <w:tcPr>
            <w:tcW w:w="3044"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十一、年初结转和结余</w:t>
            </w:r>
          </w:p>
        </w:tc>
        <w:tc>
          <w:tcPr>
            <w:tcW w:w="26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3598"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二十五、年末结转和结余</w:t>
            </w:r>
          </w:p>
        </w:tc>
        <w:tc>
          <w:tcPr>
            <w:tcW w:w="3044"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其中：财政拨款结转和结余</w:t>
            </w:r>
          </w:p>
        </w:tc>
        <w:tc>
          <w:tcPr>
            <w:tcW w:w="26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3598" w:type="dxa"/>
            <w:tcBorders>
              <w:top w:val="nil"/>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3044" w:type="dxa"/>
            <w:tcBorders>
              <w:top w:val="nil"/>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其他结转和结余</w:t>
            </w:r>
          </w:p>
        </w:tc>
        <w:tc>
          <w:tcPr>
            <w:tcW w:w="26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3598" w:type="dxa"/>
            <w:tcBorders>
              <w:top w:val="nil"/>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3044" w:type="dxa"/>
            <w:tcBorders>
              <w:top w:val="nil"/>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收入总计</w:t>
            </w:r>
          </w:p>
        </w:tc>
        <w:tc>
          <w:tcPr>
            <w:tcW w:w="265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1,159,246.94</w:t>
            </w:r>
          </w:p>
        </w:tc>
        <w:tc>
          <w:tcPr>
            <w:tcW w:w="3598"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支出总计</w:t>
            </w:r>
          </w:p>
        </w:tc>
        <w:tc>
          <w:tcPr>
            <w:tcW w:w="3044"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1,159,246.94</w:t>
            </w:r>
          </w:p>
        </w:tc>
      </w:tr>
      <w:tr>
        <w:tblPrEx>
          <w:tblCellMar>
            <w:top w:w="0" w:type="dxa"/>
            <w:left w:w="108" w:type="dxa"/>
            <w:bottom w:w="0" w:type="dxa"/>
            <w:right w:w="108" w:type="dxa"/>
          </w:tblCellMar>
        </w:tblPrEx>
        <w:trPr>
          <w:trHeight w:val="308" w:hRule="atLeast"/>
        </w:trPr>
        <w:tc>
          <w:tcPr>
            <w:tcW w:w="13989" w:type="dxa"/>
            <w:gridSpan w:val="4"/>
            <w:tcBorders>
              <w:top w:val="nil"/>
              <w:left w:val="nil"/>
              <w:bottom w:val="nil"/>
              <w:right w:val="nil"/>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注：本表反映本年度的总收支和年末结转结余情况。财政专户管理资金是指教育收费；事业收入不含教育收费。</w:t>
            </w:r>
          </w:p>
        </w:tc>
      </w:tr>
    </w:tbl>
    <w:p>
      <w:pPr>
        <w:rPr>
          <w:rFonts w:asciiTheme="minorEastAsia" w:hAnsiTheme="minorEastAsia" w:cstheme="minorEastAsia"/>
          <w:sz w:val="22"/>
          <w:szCs w:val="22"/>
        </w:rPr>
      </w:pPr>
      <w:r>
        <w:rPr>
          <w:rFonts w:hint="eastAsia" w:asciiTheme="minorEastAsia" w:hAnsiTheme="minorEastAsia" w:cstheme="minorEastAsia"/>
          <w:sz w:val="22"/>
          <w:szCs w:val="22"/>
        </w:rPr>
        <w:br w:type="page"/>
      </w:r>
    </w:p>
    <w:p>
      <w:pPr>
        <w:pStyle w:val="28"/>
        <w:widowControl/>
        <w:jc w:val="both"/>
        <w:rPr>
          <w:rFonts w:ascii="仿宋" w:hAnsi="仿宋" w:eastAsia="仿宋" w:cs="仿宋"/>
          <w:b/>
          <w:bCs/>
        </w:rPr>
      </w:pPr>
      <w:r>
        <w:rPr>
          <w:rFonts w:hint="eastAsia" w:ascii="仿宋" w:hAnsi="仿宋" w:eastAsia="仿宋" w:cs="仿宋"/>
          <w:b/>
          <w:bCs/>
        </w:rPr>
        <w:t>二、收入决算表(按功能分类列示)</w:t>
      </w:r>
    </w:p>
    <w:tbl>
      <w:tblPr>
        <w:tblStyle w:val="11"/>
        <w:tblW w:w="13991" w:type="dxa"/>
        <w:tblInd w:w="0" w:type="dxa"/>
        <w:tblLayout w:type="fixed"/>
        <w:tblCellMar>
          <w:top w:w="0" w:type="dxa"/>
          <w:left w:w="108" w:type="dxa"/>
          <w:bottom w:w="0" w:type="dxa"/>
          <w:right w:w="108" w:type="dxa"/>
        </w:tblCellMar>
      </w:tblPr>
      <w:tblGrid>
        <w:gridCol w:w="1027"/>
        <w:gridCol w:w="2888"/>
        <w:gridCol w:w="1387"/>
        <w:gridCol w:w="1250"/>
        <w:gridCol w:w="1300"/>
        <w:gridCol w:w="1238"/>
        <w:gridCol w:w="1175"/>
        <w:gridCol w:w="1246"/>
        <w:gridCol w:w="1216"/>
        <w:gridCol w:w="1264"/>
      </w:tblGrid>
      <w:tr>
        <w:tblPrEx>
          <w:tblCellMar>
            <w:top w:w="0" w:type="dxa"/>
            <w:left w:w="108" w:type="dxa"/>
            <w:bottom w:w="0" w:type="dxa"/>
            <w:right w:w="108" w:type="dxa"/>
          </w:tblCellMar>
        </w:tblPrEx>
        <w:trPr>
          <w:trHeight w:val="320" w:hRule="atLeast"/>
        </w:trPr>
        <w:tc>
          <w:tcPr>
            <w:tcW w:w="12727" w:type="dxa"/>
            <w:gridSpan w:val="9"/>
            <w:tcBorders>
              <w:top w:val="nil"/>
              <w:left w:val="nil"/>
              <w:bottom w:val="nil"/>
              <w:right w:val="nil"/>
            </w:tcBorders>
            <w:shd w:val="clear" w:color="auto" w:fill="auto"/>
            <w:noWrap/>
            <w:vAlign w:val="bottom"/>
          </w:tcPr>
          <w:p>
            <w:pPr>
              <w:widowControl/>
              <w:textAlignment w:val="bottom"/>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部门（单位）：天津市南开区纪委监委综合服务中心 </w:t>
            </w:r>
          </w:p>
        </w:tc>
        <w:tc>
          <w:tcPr>
            <w:tcW w:w="1264" w:type="dxa"/>
            <w:tcBorders>
              <w:top w:val="nil"/>
              <w:left w:val="nil"/>
              <w:bottom w:val="nil"/>
              <w:right w:val="nil"/>
            </w:tcBorders>
            <w:shd w:val="clear" w:color="auto" w:fill="auto"/>
            <w:noWrap/>
            <w:vAlign w:val="bottom"/>
          </w:tcPr>
          <w:p>
            <w:pPr>
              <w:widowControl/>
              <w:textAlignment w:val="bottom"/>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单位：元</w:t>
            </w:r>
          </w:p>
        </w:tc>
      </w:tr>
      <w:tr>
        <w:tblPrEx>
          <w:tblCellMar>
            <w:top w:w="0" w:type="dxa"/>
            <w:left w:w="108" w:type="dxa"/>
            <w:bottom w:w="0" w:type="dxa"/>
            <w:right w:w="108" w:type="dxa"/>
          </w:tblCellMar>
        </w:tblPrEx>
        <w:trPr>
          <w:trHeight w:val="308" w:hRule="atLeast"/>
        </w:trPr>
        <w:tc>
          <w:tcPr>
            <w:tcW w:w="39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项      目</w:t>
            </w:r>
          </w:p>
        </w:tc>
        <w:tc>
          <w:tcPr>
            <w:tcW w:w="1387" w:type="dxa"/>
            <w:vMerge w:val="restart"/>
            <w:tcBorders>
              <w:top w:val="single" w:color="000000" w:sz="4" w:space="0"/>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本年收入合计</w:t>
            </w:r>
          </w:p>
        </w:tc>
        <w:tc>
          <w:tcPr>
            <w:tcW w:w="1250" w:type="dxa"/>
            <w:vMerge w:val="restart"/>
            <w:tcBorders>
              <w:top w:val="single" w:color="000000" w:sz="4" w:space="0"/>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财政拨款收入</w:t>
            </w:r>
          </w:p>
        </w:tc>
        <w:tc>
          <w:tcPr>
            <w:tcW w:w="1300" w:type="dxa"/>
            <w:vMerge w:val="restart"/>
            <w:tcBorders>
              <w:top w:val="single" w:color="000000" w:sz="4" w:space="0"/>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上级补助收入</w:t>
            </w:r>
          </w:p>
        </w:tc>
        <w:tc>
          <w:tcPr>
            <w:tcW w:w="2413" w:type="dxa"/>
            <w:gridSpan w:val="2"/>
            <w:tcBorders>
              <w:top w:val="single" w:color="000000" w:sz="4" w:space="0"/>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事业收入</w:t>
            </w:r>
          </w:p>
        </w:tc>
        <w:tc>
          <w:tcPr>
            <w:tcW w:w="1246" w:type="dxa"/>
            <w:vMerge w:val="restart"/>
            <w:tcBorders>
              <w:top w:val="single" w:color="000000" w:sz="4" w:space="0"/>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经营收入</w:t>
            </w:r>
          </w:p>
        </w:tc>
        <w:tc>
          <w:tcPr>
            <w:tcW w:w="1216" w:type="dxa"/>
            <w:vMerge w:val="restart"/>
            <w:tcBorders>
              <w:top w:val="single" w:color="000000" w:sz="4" w:space="0"/>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附属单位上缴收入</w:t>
            </w:r>
          </w:p>
        </w:tc>
        <w:tc>
          <w:tcPr>
            <w:tcW w:w="1264" w:type="dxa"/>
            <w:vMerge w:val="restart"/>
            <w:tcBorders>
              <w:top w:val="single" w:color="000000" w:sz="4" w:space="0"/>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其他收入</w:t>
            </w:r>
          </w:p>
        </w:tc>
      </w:tr>
      <w:tr>
        <w:tblPrEx>
          <w:tblCellMar>
            <w:top w:w="0" w:type="dxa"/>
            <w:left w:w="108" w:type="dxa"/>
            <w:bottom w:w="0" w:type="dxa"/>
            <w:right w:w="108" w:type="dxa"/>
          </w:tblCellMar>
        </w:tblPrEx>
        <w:trPr>
          <w:trHeight w:val="308" w:hRule="atLeast"/>
        </w:trPr>
        <w:tc>
          <w:tcPr>
            <w:tcW w:w="1027" w:type="dxa"/>
            <w:tcBorders>
              <w:top w:val="nil"/>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科目编码</w:t>
            </w:r>
          </w:p>
        </w:tc>
        <w:tc>
          <w:tcPr>
            <w:tcW w:w="2888"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科目名称</w:t>
            </w:r>
          </w:p>
        </w:tc>
        <w:tc>
          <w:tcPr>
            <w:tcW w:w="1387" w:type="dxa"/>
            <w:vMerge w:val="continue"/>
            <w:tcBorders>
              <w:top w:val="single" w:color="000000" w:sz="4" w:space="0"/>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15"/>
                <w:szCs w:val="15"/>
              </w:rPr>
            </w:pPr>
          </w:p>
        </w:tc>
        <w:tc>
          <w:tcPr>
            <w:tcW w:w="1250" w:type="dxa"/>
            <w:vMerge w:val="continue"/>
            <w:tcBorders>
              <w:top w:val="single" w:color="000000" w:sz="4" w:space="0"/>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15"/>
                <w:szCs w:val="15"/>
              </w:rPr>
            </w:pPr>
          </w:p>
        </w:tc>
        <w:tc>
          <w:tcPr>
            <w:tcW w:w="1300" w:type="dxa"/>
            <w:vMerge w:val="continue"/>
            <w:tcBorders>
              <w:top w:val="single" w:color="000000" w:sz="4" w:space="0"/>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15"/>
                <w:szCs w:val="15"/>
              </w:rPr>
            </w:pPr>
          </w:p>
        </w:tc>
        <w:tc>
          <w:tcPr>
            <w:tcW w:w="1238"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小计</w:t>
            </w:r>
          </w:p>
        </w:tc>
        <w:tc>
          <w:tcPr>
            <w:tcW w:w="1175"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其中：教育收费</w:t>
            </w:r>
          </w:p>
        </w:tc>
        <w:tc>
          <w:tcPr>
            <w:tcW w:w="1246"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asciiTheme="minorEastAsia" w:hAnsiTheme="minorEastAsia" w:cstheme="minorEastAsia"/>
                <w:color w:val="000000"/>
                <w:sz w:val="15"/>
                <w:szCs w:val="15"/>
              </w:rPr>
            </w:pPr>
          </w:p>
        </w:tc>
        <w:tc>
          <w:tcPr>
            <w:tcW w:w="1216"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asciiTheme="minorEastAsia" w:hAnsiTheme="minorEastAsia" w:cstheme="minorEastAsia"/>
                <w:color w:val="000000"/>
                <w:sz w:val="15"/>
                <w:szCs w:val="15"/>
              </w:rPr>
            </w:pPr>
          </w:p>
        </w:tc>
        <w:tc>
          <w:tcPr>
            <w:tcW w:w="1264" w:type="dxa"/>
            <w:vMerge w:val="continue"/>
            <w:tcBorders>
              <w:top w:val="single" w:color="000000" w:sz="4" w:space="0"/>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15"/>
                <w:szCs w:val="15"/>
              </w:rPr>
            </w:pPr>
          </w:p>
        </w:tc>
      </w:tr>
      <w:tr>
        <w:tblPrEx>
          <w:tblCellMar>
            <w:top w:w="0" w:type="dxa"/>
            <w:left w:w="108" w:type="dxa"/>
            <w:bottom w:w="0" w:type="dxa"/>
            <w:right w:w="108" w:type="dxa"/>
          </w:tblCellMar>
        </w:tblPrEx>
        <w:trPr>
          <w:trHeight w:val="880" w:hRule="atLeast"/>
        </w:trPr>
        <w:tc>
          <w:tcPr>
            <w:tcW w:w="3915" w:type="dxa"/>
            <w:gridSpan w:val="2"/>
            <w:tcBorders>
              <w:top w:val="nil"/>
              <w:left w:val="single" w:color="000000" w:sz="4" w:space="0"/>
              <w:bottom w:val="nil"/>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合计</w:t>
            </w:r>
          </w:p>
        </w:tc>
        <w:tc>
          <w:tcPr>
            <w:tcW w:w="1387" w:type="dxa"/>
            <w:tcBorders>
              <w:top w:val="nil"/>
              <w:left w:val="nil"/>
              <w:bottom w:val="nil"/>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1,159,246.94</w:t>
            </w:r>
          </w:p>
        </w:tc>
        <w:tc>
          <w:tcPr>
            <w:tcW w:w="1250" w:type="dxa"/>
            <w:tcBorders>
              <w:top w:val="nil"/>
              <w:left w:val="nil"/>
              <w:bottom w:val="nil"/>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1,159,246.94</w:t>
            </w:r>
          </w:p>
        </w:tc>
        <w:tc>
          <w:tcPr>
            <w:tcW w:w="1300" w:type="dxa"/>
            <w:tcBorders>
              <w:top w:val="nil"/>
              <w:left w:val="nil"/>
              <w:bottom w:val="nil"/>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238" w:type="dxa"/>
            <w:tcBorders>
              <w:top w:val="nil"/>
              <w:left w:val="nil"/>
              <w:bottom w:val="nil"/>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175" w:type="dxa"/>
            <w:tcBorders>
              <w:top w:val="nil"/>
              <w:left w:val="nil"/>
              <w:bottom w:val="nil"/>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246" w:type="dxa"/>
            <w:tcBorders>
              <w:top w:val="nil"/>
              <w:left w:val="nil"/>
              <w:bottom w:val="nil"/>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216" w:type="dxa"/>
            <w:tcBorders>
              <w:top w:val="nil"/>
              <w:left w:val="nil"/>
              <w:bottom w:val="nil"/>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264" w:type="dxa"/>
            <w:tcBorders>
              <w:top w:val="nil"/>
              <w:left w:val="nil"/>
              <w:bottom w:val="nil"/>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r>
      <w:tr>
        <w:tblPrEx>
          <w:tblCellMar>
            <w:top w:w="0" w:type="dxa"/>
            <w:left w:w="108" w:type="dxa"/>
            <w:bottom w:w="0" w:type="dxa"/>
            <w:right w:w="108" w:type="dxa"/>
          </w:tblCellMar>
        </w:tblPrEx>
        <w:trPr>
          <w:trHeight w:val="640"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201</w:t>
            </w:r>
          </w:p>
        </w:tc>
        <w:tc>
          <w:tcPr>
            <w:tcW w:w="2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一般公共服务支出</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994,136.52</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994,136.52</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r>
      <w:tr>
        <w:tblPrEx>
          <w:tblCellMar>
            <w:top w:w="0" w:type="dxa"/>
            <w:left w:w="108" w:type="dxa"/>
            <w:bottom w:w="0" w:type="dxa"/>
            <w:right w:w="108" w:type="dxa"/>
          </w:tblCellMar>
        </w:tblPrEx>
        <w:trPr>
          <w:trHeight w:val="640"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20111</w:t>
            </w:r>
          </w:p>
        </w:tc>
        <w:tc>
          <w:tcPr>
            <w:tcW w:w="2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纪检监察事务</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994,136.52</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994,136.52</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r>
      <w:tr>
        <w:tblPrEx>
          <w:tblCellMar>
            <w:top w:w="0" w:type="dxa"/>
            <w:left w:w="108" w:type="dxa"/>
            <w:bottom w:w="0" w:type="dxa"/>
            <w:right w:w="108" w:type="dxa"/>
          </w:tblCellMar>
        </w:tblPrEx>
        <w:trPr>
          <w:trHeight w:val="640"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2011150</w:t>
            </w:r>
          </w:p>
        </w:tc>
        <w:tc>
          <w:tcPr>
            <w:tcW w:w="2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事业运行</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907,010.31</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907,010.31</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r>
      <w:tr>
        <w:tblPrEx>
          <w:tblCellMar>
            <w:top w:w="0" w:type="dxa"/>
            <w:left w:w="108" w:type="dxa"/>
            <w:bottom w:w="0" w:type="dxa"/>
            <w:right w:w="108" w:type="dxa"/>
          </w:tblCellMar>
        </w:tblPrEx>
        <w:trPr>
          <w:trHeight w:val="640"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2011199</w:t>
            </w:r>
          </w:p>
        </w:tc>
        <w:tc>
          <w:tcPr>
            <w:tcW w:w="2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其他纪检监察事务支出</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87,126.21</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87,126.21</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r>
      <w:tr>
        <w:tblPrEx>
          <w:tblCellMar>
            <w:top w:w="0" w:type="dxa"/>
            <w:left w:w="108" w:type="dxa"/>
            <w:bottom w:w="0" w:type="dxa"/>
            <w:right w:w="108" w:type="dxa"/>
          </w:tblCellMar>
        </w:tblPrEx>
        <w:trPr>
          <w:trHeight w:val="640"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208</w:t>
            </w:r>
          </w:p>
        </w:tc>
        <w:tc>
          <w:tcPr>
            <w:tcW w:w="2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社会保障和就业支出</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116,548.32</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116,548.32</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r>
      <w:tr>
        <w:tblPrEx>
          <w:tblCellMar>
            <w:top w:w="0" w:type="dxa"/>
            <w:left w:w="108" w:type="dxa"/>
            <w:bottom w:w="0" w:type="dxa"/>
            <w:right w:w="108" w:type="dxa"/>
          </w:tblCellMar>
        </w:tblPrEx>
        <w:trPr>
          <w:trHeight w:val="640"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20805</w:t>
            </w:r>
          </w:p>
        </w:tc>
        <w:tc>
          <w:tcPr>
            <w:tcW w:w="2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行政事业单位养老支出</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116,548.32</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116,548.32</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r>
      <w:tr>
        <w:tblPrEx>
          <w:tblCellMar>
            <w:top w:w="0" w:type="dxa"/>
            <w:left w:w="108" w:type="dxa"/>
            <w:bottom w:w="0" w:type="dxa"/>
            <w:right w:w="108" w:type="dxa"/>
          </w:tblCellMar>
        </w:tblPrEx>
        <w:trPr>
          <w:trHeight w:val="640"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2080505</w:t>
            </w:r>
          </w:p>
        </w:tc>
        <w:tc>
          <w:tcPr>
            <w:tcW w:w="2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机关事业单位基本养老保险缴费支出</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77,698.88</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77,698.88</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r>
      <w:tr>
        <w:tblPrEx>
          <w:tblCellMar>
            <w:top w:w="0" w:type="dxa"/>
            <w:left w:w="108" w:type="dxa"/>
            <w:bottom w:w="0" w:type="dxa"/>
            <w:right w:w="108" w:type="dxa"/>
          </w:tblCellMar>
        </w:tblPrEx>
        <w:trPr>
          <w:trHeight w:val="640"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2080506</w:t>
            </w:r>
          </w:p>
        </w:tc>
        <w:tc>
          <w:tcPr>
            <w:tcW w:w="2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机关事业单位职业年金缴费支出</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38,849.44</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38,849.44</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r>
      <w:tr>
        <w:tblPrEx>
          <w:tblCellMar>
            <w:top w:w="0" w:type="dxa"/>
            <w:left w:w="108" w:type="dxa"/>
            <w:bottom w:w="0" w:type="dxa"/>
            <w:right w:w="108" w:type="dxa"/>
          </w:tblCellMar>
        </w:tblPrEx>
        <w:trPr>
          <w:trHeight w:val="640"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210</w:t>
            </w:r>
          </w:p>
        </w:tc>
        <w:tc>
          <w:tcPr>
            <w:tcW w:w="2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卫生健康支出</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48,562.10</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48,562.10</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r>
      <w:tr>
        <w:tblPrEx>
          <w:tblCellMar>
            <w:top w:w="0" w:type="dxa"/>
            <w:left w:w="108" w:type="dxa"/>
            <w:bottom w:w="0" w:type="dxa"/>
            <w:right w:w="108" w:type="dxa"/>
          </w:tblCellMar>
        </w:tblPrEx>
        <w:trPr>
          <w:trHeight w:val="640"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21011</w:t>
            </w:r>
          </w:p>
        </w:tc>
        <w:tc>
          <w:tcPr>
            <w:tcW w:w="2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行政事业单位医疗</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48,562.10</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48,562.10</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r>
      <w:tr>
        <w:tblPrEx>
          <w:tblCellMar>
            <w:top w:w="0" w:type="dxa"/>
            <w:left w:w="108" w:type="dxa"/>
            <w:bottom w:w="0" w:type="dxa"/>
            <w:right w:w="108" w:type="dxa"/>
          </w:tblCellMar>
        </w:tblPrEx>
        <w:trPr>
          <w:trHeight w:val="640"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2101102</w:t>
            </w:r>
          </w:p>
        </w:tc>
        <w:tc>
          <w:tcPr>
            <w:tcW w:w="2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事业单位医疗</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48,562.10</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48,562.10</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r>
      <w:tr>
        <w:tblPrEx>
          <w:tblCellMar>
            <w:top w:w="0" w:type="dxa"/>
            <w:left w:w="108" w:type="dxa"/>
            <w:bottom w:w="0" w:type="dxa"/>
            <w:right w:w="108" w:type="dxa"/>
          </w:tblCellMar>
        </w:tblPrEx>
        <w:trPr>
          <w:trHeight w:val="308" w:hRule="atLeast"/>
        </w:trPr>
        <w:tc>
          <w:tcPr>
            <w:tcW w:w="13991" w:type="dxa"/>
            <w:gridSpan w:val="10"/>
            <w:tcBorders>
              <w:top w:val="nil"/>
              <w:left w:val="nil"/>
              <w:bottom w:val="nil"/>
              <w:right w:val="nil"/>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注：本表反映本年度取得的各项收入情况。</w:t>
            </w:r>
          </w:p>
        </w:tc>
      </w:tr>
    </w:tbl>
    <w:p>
      <w:pPr>
        <w:rPr>
          <w:rFonts w:asciiTheme="minorEastAsia" w:hAnsiTheme="minorEastAsia" w:cstheme="minorEastAsia"/>
          <w:sz w:val="22"/>
          <w:szCs w:val="22"/>
        </w:rPr>
      </w:pPr>
      <w:r>
        <w:rPr>
          <w:rFonts w:hint="eastAsia" w:asciiTheme="minorEastAsia" w:hAnsiTheme="minorEastAsia" w:cstheme="minorEastAsia"/>
          <w:sz w:val="22"/>
          <w:szCs w:val="22"/>
        </w:rPr>
        <w:br w:type="page"/>
      </w:r>
    </w:p>
    <w:p>
      <w:pPr>
        <w:pStyle w:val="28"/>
        <w:widowControl/>
        <w:jc w:val="both"/>
        <w:rPr>
          <w:rFonts w:ascii="仿宋" w:hAnsi="仿宋" w:eastAsia="仿宋" w:cs="仿宋"/>
          <w:b/>
          <w:bCs/>
        </w:rPr>
      </w:pPr>
      <w:r>
        <w:rPr>
          <w:rFonts w:hint="eastAsia" w:ascii="仿宋" w:hAnsi="仿宋" w:eastAsia="仿宋" w:cs="仿宋"/>
          <w:b/>
          <w:bCs/>
        </w:rPr>
        <w:t>三、收入决算表(按单位列示)</w:t>
      </w:r>
    </w:p>
    <w:tbl>
      <w:tblPr>
        <w:tblStyle w:val="11"/>
        <w:tblW w:w="13992" w:type="dxa"/>
        <w:tblInd w:w="0" w:type="dxa"/>
        <w:tblLayout w:type="fixed"/>
        <w:tblCellMar>
          <w:top w:w="0" w:type="dxa"/>
          <w:left w:w="108" w:type="dxa"/>
          <w:bottom w:w="0" w:type="dxa"/>
          <w:right w:w="108" w:type="dxa"/>
        </w:tblCellMar>
      </w:tblPr>
      <w:tblGrid>
        <w:gridCol w:w="527"/>
        <w:gridCol w:w="1050"/>
        <w:gridCol w:w="550"/>
        <w:gridCol w:w="613"/>
        <w:gridCol w:w="650"/>
        <w:gridCol w:w="612"/>
        <w:gridCol w:w="663"/>
        <w:gridCol w:w="712"/>
        <w:gridCol w:w="650"/>
        <w:gridCol w:w="688"/>
        <w:gridCol w:w="650"/>
        <w:gridCol w:w="662"/>
        <w:gridCol w:w="353"/>
        <w:gridCol w:w="260"/>
        <w:gridCol w:w="625"/>
        <w:gridCol w:w="700"/>
        <w:gridCol w:w="712"/>
        <w:gridCol w:w="688"/>
        <w:gridCol w:w="712"/>
        <w:gridCol w:w="638"/>
        <w:gridCol w:w="638"/>
        <w:gridCol w:w="639"/>
      </w:tblGrid>
      <w:tr>
        <w:tblPrEx>
          <w:tblCellMar>
            <w:top w:w="0" w:type="dxa"/>
            <w:left w:w="108" w:type="dxa"/>
            <w:bottom w:w="0" w:type="dxa"/>
            <w:right w:w="108" w:type="dxa"/>
          </w:tblCellMar>
        </w:tblPrEx>
        <w:trPr>
          <w:trHeight w:val="320" w:hRule="atLeast"/>
        </w:trPr>
        <w:tc>
          <w:tcPr>
            <w:tcW w:w="6027" w:type="dxa"/>
            <w:gridSpan w:val="9"/>
            <w:tcBorders>
              <w:top w:val="nil"/>
              <w:left w:val="nil"/>
              <w:bottom w:val="nil"/>
              <w:right w:val="nil"/>
            </w:tcBorders>
            <w:shd w:val="clear" w:color="auto" w:fill="auto"/>
            <w:noWrap/>
            <w:vAlign w:val="bottom"/>
          </w:tcPr>
          <w:p>
            <w:pPr>
              <w:widowControl/>
              <w:textAlignment w:val="bottom"/>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 xml:space="preserve">部门（单位）：天津市南开区纪委监委综合服务中心 </w:t>
            </w:r>
          </w:p>
        </w:tc>
        <w:tc>
          <w:tcPr>
            <w:tcW w:w="688" w:type="dxa"/>
            <w:tcBorders>
              <w:top w:val="nil"/>
              <w:left w:val="nil"/>
              <w:bottom w:val="nil"/>
              <w:right w:val="nil"/>
            </w:tcBorders>
            <w:shd w:val="clear" w:color="auto" w:fill="auto"/>
            <w:noWrap/>
            <w:vAlign w:val="bottom"/>
          </w:tcPr>
          <w:p>
            <w:pPr>
              <w:rPr>
                <w:rFonts w:asciiTheme="minorEastAsia" w:hAnsiTheme="minorEastAsia" w:cstheme="minorEastAsia"/>
                <w:color w:val="000000"/>
                <w:sz w:val="18"/>
                <w:szCs w:val="18"/>
              </w:rPr>
            </w:pPr>
          </w:p>
        </w:tc>
        <w:tc>
          <w:tcPr>
            <w:tcW w:w="650" w:type="dxa"/>
            <w:tcBorders>
              <w:top w:val="nil"/>
              <w:left w:val="nil"/>
              <w:bottom w:val="nil"/>
              <w:right w:val="nil"/>
            </w:tcBorders>
            <w:shd w:val="clear" w:color="auto" w:fill="auto"/>
            <w:noWrap/>
            <w:vAlign w:val="bottom"/>
          </w:tcPr>
          <w:p>
            <w:pPr>
              <w:rPr>
                <w:rFonts w:asciiTheme="minorEastAsia" w:hAnsiTheme="minorEastAsia" w:cstheme="minorEastAsia"/>
                <w:color w:val="000000"/>
                <w:sz w:val="18"/>
                <w:szCs w:val="18"/>
              </w:rPr>
            </w:pPr>
          </w:p>
        </w:tc>
        <w:tc>
          <w:tcPr>
            <w:tcW w:w="662" w:type="dxa"/>
            <w:tcBorders>
              <w:top w:val="nil"/>
              <w:left w:val="nil"/>
              <w:bottom w:val="nil"/>
              <w:right w:val="nil"/>
            </w:tcBorders>
            <w:shd w:val="clear" w:color="auto" w:fill="auto"/>
            <w:noWrap/>
            <w:vAlign w:val="bottom"/>
          </w:tcPr>
          <w:p>
            <w:pPr>
              <w:rPr>
                <w:rFonts w:asciiTheme="minorEastAsia" w:hAnsiTheme="minorEastAsia" w:cstheme="minorEastAsia"/>
                <w:color w:val="000000"/>
                <w:sz w:val="18"/>
                <w:szCs w:val="18"/>
              </w:rPr>
            </w:pPr>
          </w:p>
        </w:tc>
        <w:tc>
          <w:tcPr>
            <w:tcW w:w="353" w:type="dxa"/>
            <w:tcBorders>
              <w:top w:val="nil"/>
              <w:left w:val="nil"/>
              <w:bottom w:val="nil"/>
              <w:right w:val="nil"/>
            </w:tcBorders>
            <w:shd w:val="clear" w:color="auto" w:fill="auto"/>
            <w:noWrap/>
            <w:vAlign w:val="bottom"/>
          </w:tcPr>
          <w:p>
            <w:pPr>
              <w:rPr>
                <w:rFonts w:asciiTheme="minorEastAsia" w:hAnsiTheme="minorEastAsia" w:cstheme="minorEastAsia"/>
                <w:color w:val="000000"/>
                <w:sz w:val="18"/>
                <w:szCs w:val="18"/>
              </w:rPr>
            </w:pPr>
          </w:p>
        </w:tc>
        <w:tc>
          <w:tcPr>
            <w:tcW w:w="885" w:type="dxa"/>
            <w:gridSpan w:val="2"/>
            <w:tcBorders>
              <w:top w:val="nil"/>
              <w:left w:val="nil"/>
              <w:bottom w:val="nil"/>
              <w:right w:val="nil"/>
            </w:tcBorders>
            <w:shd w:val="clear" w:color="auto" w:fill="auto"/>
            <w:noWrap/>
            <w:vAlign w:val="bottom"/>
          </w:tcPr>
          <w:p>
            <w:pPr>
              <w:rPr>
                <w:rFonts w:asciiTheme="minorEastAsia" w:hAnsiTheme="minorEastAsia" w:cstheme="minorEastAsia"/>
                <w:color w:val="000000"/>
                <w:sz w:val="18"/>
                <w:szCs w:val="18"/>
              </w:rPr>
            </w:pPr>
          </w:p>
        </w:tc>
        <w:tc>
          <w:tcPr>
            <w:tcW w:w="700" w:type="dxa"/>
            <w:tcBorders>
              <w:top w:val="nil"/>
              <w:left w:val="nil"/>
              <w:bottom w:val="nil"/>
              <w:right w:val="nil"/>
            </w:tcBorders>
            <w:shd w:val="clear" w:color="auto" w:fill="auto"/>
            <w:noWrap/>
            <w:vAlign w:val="bottom"/>
          </w:tcPr>
          <w:p>
            <w:pPr>
              <w:rPr>
                <w:rFonts w:asciiTheme="minorEastAsia" w:hAnsiTheme="minorEastAsia" w:cstheme="minorEastAsia"/>
                <w:color w:val="000000"/>
                <w:sz w:val="18"/>
                <w:szCs w:val="18"/>
              </w:rPr>
            </w:pPr>
          </w:p>
        </w:tc>
        <w:tc>
          <w:tcPr>
            <w:tcW w:w="712" w:type="dxa"/>
            <w:tcBorders>
              <w:top w:val="nil"/>
              <w:left w:val="nil"/>
              <w:bottom w:val="nil"/>
              <w:right w:val="nil"/>
            </w:tcBorders>
            <w:shd w:val="clear" w:color="auto" w:fill="auto"/>
            <w:noWrap/>
            <w:vAlign w:val="bottom"/>
          </w:tcPr>
          <w:p>
            <w:pPr>
              <w:rPr>
                <w:rFonts w:asciiTheme="minorEastAsia" w:hAnsiTheme="minorEastAsia" w:cstheme="minorEastAsia"/>
                <w:color w:val="000000"/>
                <w:sz w:val="18"/>
                <w:szCs w:val="18"/>
              </w:rPr>
            </w:pPr>
          </w:p>
        </w:tc>
        <w:tc>
          <w:tcPr>
            <w:tcW w:w="688" w:type="dxa"/>
            <w:tcBorders>
              <w:top w:val="nil"/>
              <w:left w:val="nil"/>
              <w:bottom w:val="nil"/>
              <w:right w:val="nil"/>
            </w:tcBorders>
            <w:shd w:val="clear" w:color="auto" w:fill="auto"/>
            <w:noWrap/>
            <w:vAlign w:val="bottom"/>
          </w:tcPr>
          <w:p>
            <w:pPr>
              <w:rPr>
                <w:rFonts w:asciiTheme="minorEastAsia" w:hAnsiTheme="minorEastAsia" w:cstheme="minorEastAsia"/>
                <w:color w:val="000000"/>
                <w:sz w:val="18"/>
                <w:szCs w:val="18"/>
              </w:rPr>
            </w:pPr>
          </w:p>
        </w:tc>
        <w:tc>
          <w:tcPr>
            <w:tcW w:w="712" w:type="dxa"/>
            <w:tcBorders>
              <w:top w:val="nil"/>
              <w:left w:val="nil"/>
              <w:bottom w:val="nil"/>
              <w:right w:val="nil"/>
            </w:tcBorders>
            <w:shd w:val="clear" w:color="auto" w:fill="auto"/>
            <w:noWrap/>
            <w:vAlign w:val="bottom"/>
          </w:tcPr>
          <w:p>
            <w:pPr>
              <w:rPr>
                <w:rFonts w:asciiTheme="minorEastAsia" w:hAnsiTheme="minorEastAsia" w:cstheme="minorEastAsia"/>
                <w:color w:val="000000"/>
                <w:sz w:val="18"/>
                <w:szCs w:val="18"/>
              </w:rPr>
            </w:pPr>
          </w:p>
        </w:tc>
        <w:tc>
          <w:tcPr>
            <w:tcW w:w="638" w:type="dxa"/>
            <w:tcBorders>
              <w:top w:val="nil"/>
              <w:left w:val="nil"/>
              <w:bottom w:val="nil"/>
              <w:right w:val="nil"/>
            </w:tcBorders>
            <w:shd w:val="clear" w:color="auto" w:fill="auto"/>
            <w:noWrap/>
            <w:vAlign w:val="bottom"/>
          </w:tcPr>
          <w:p>
            <w:pPr>
              <w:rPr>
                <w:rFonts w:asciiTheme="minorEastAsia" w:hAnsiTheme="minorEastAsia" w:cstheme="minorEastAsia"/>
                <w:color w:val="000000"/>
                <w:sz w:val="18"/>
                <w:szCs w:val="18"/>
              </w:rPr>
            </w:pPr>
          </w:p>
        </w:tc>
        <w:tc>
          <w:tcPr>
            <w:tcW w:w="1277" w:type="dxa"/>
            <w:gridSpan w:val="2"/>
            <w:tcBorders>
              <w:top w:val="nil"/>
              <w:left w:val="nil"/>
              <w:bottom w:val="nil"/>
              <w:right w:val="nil"/>
            </w:tcBorders>
            <w:shd w:val="clear" w:color="auto" w:fill="auto"/>
            <w:noWrap/>
            <w:vAlign w:val="bottom"/>
          </w:tcPr>
          <w:p>
            <w:pPr>
              <w:widowControl/>
              <w:textAlignment w:val="bottom"/>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单位：元</w:t>
            </w:r>
          </w:p>
        </w:tc>
      </w:tr>
      <w:tr>
        <w:tblPrEx>
          <w:tblCellMar>
            <w:top w:w="0" w:type="dxa"/>
            <w:left w:w="108" w:type="dxa"/>
            <w:bottom w:w="0" w:type="dxa"/>
            <w:right w:w="108" w:type="dxa"/>
          </w:tblCellMar>
        </w:tblPrEx>
        <w:trPr>
          <w:trHeight w:val="308" w:hRule="atLeast"/>
        </w:trPr>
        <w:tc>
          <w:tcPr>
            <w:tcW w:w="5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rPr>
              <w:t>部门（单位）代码</w:t>
            </w:r>
          </w:p>
        </w:tc>
        <w:tc>
          <w:tcPr>
            <w:tcW w:w="1050" w:type="dxa"/>
            <w:vMerge w:val="restart"/>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rPr>
              <w:t>部门（单位）名称</w:t>
            </w:r>
          </w:p>
        </w:tc>
        <w:tc>
          <w:tcPr>
            <w:tcW w:w="550" w:type="dxa"/>
            <w:vMerge w:val="restart"/>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rPr>
              <w:t>合计</w:t>
            </w:r>
          </w:p>
        </w:tc>
        <w:tc>
          <w:tcPr>
            <w:tcW w:w="6513" w:type="dxa"/>
            <w:gridSpan w:val="11"/>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rPr>
              <w:t>本年收入</w:t>
            </w:r>
          </w:p>
        </w:tc>
        <w:tc>
          <w:tcPr>
            <w:tcW w:w="5352" w:type="dxa"/>
            <w:gridSpan w:val="8"/>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rPr>
              <w:t>上年结转和结余</w:t>
            </w:r>
          </w:p>
        </w:tc>
      </w:tr>
      <w:tr>
        <w:tblPrEx>
          <w:tblCellMar>
            <w:top w:w="0" w:type="dxa"/>
            <w:left w:w="108" w:type="dxa"/>
            <w:bottom w:w="0" w:type="dxa"/>
            <w:right w:w="108" w:type="dxa"/>
          </w:tblCellMar>
        </w:tblPrEx>
        <w:trPr>
          <w:trHeight w:val="308" w:hRule="atLeast"/>
        </w:trPr>
        <w:tc>
          <w:tcPr>
            <w:tcW w:w="5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3"/>
                <w:szCs w:val="13"/>
              </w:rPr>
            </w:pPr>
          </w:p>
        </w:tc>
        <w:tc>
          <w:tcPr>
            <w:tcW w:w="1050"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3"/>
                <w:szCs w:val="13"/>
              </w:rPr>
            </w:pPr>
          </w:p>
        </w:tc>
        <w:tc>
          <w:tcPr>
            <w:tcW w:w="550"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3"/>
                <w:szCs w:val="13"/>
              </w:rPr>
            </w:pPr>
          </w:p>
        </w:tc>
        <w:tc>
          <w:tcPr>
            <w:tcW w:w="613" w:type="dxa"/>
            <w:vMerge w:val="restart"/>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rPr>
              <w:t>小计</w:t>
            </w:r>
          </w:p>
        </w:tc>
        <w:tc>
          <w:tcPr>
            <w:tcW w:w="650" w:type="dxa"/>
            <w:vMerge w:val="restart"/>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rPr>
              <w:t>一般公共预算</w:t>
            </w:r>
          </w:p>
        </w:tc>
        <w:tc>
          <w:tcPr>
            <w:tcW w:w="612" w:type="dxa"/>
            <w:vMerge w:val="restart"/>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rPr>
              <w:t>政府性基金预算</w:t>
            </w:r>
          </w:p>
        </w:tc>
        <w:tc>
          <w:tcPr>
            <w:tcW w:w="663" w:type="dxa"/>
            <w:vMerge w:val="restart"/>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rPr>
              <w:t>国有资本经营预算</w:t>
            </w:r>
          </w:p>
        </w:tc>
        <w:tc>
          <w:tcPr>
            <w:tcW w:w="712" w:type="dxa"/>
            <w:vMerge w:val="restart"/>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rPr>
              <w:t>财政专户管理资金</w:t>
            </w:r>
          </w:p>
        </w:tc>
        <w:tc>
          <w:tcPr>
            <w:tcW w:w="650" w:type="dxa"/>
            <w:vMerge w:val="restart"/>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rPr>
              <w:t>事业收入</w:t>
            </w:r>
          </w:p>
        </w:tc>
        <w:tc>
          <w:tcPr>
            <w:tcW w:w="688" w:type="dxa"/>
            <w:vMerge w:val="restart"/>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rPr>
              <w:t>事业单位经营收入</w:t>
            </w:r>
          </w:p>
        </w:tc>
        <w:tc>
          <w:tcPr>
            <w:tcW w:w="650" w:type="dxa"/>
            <w:vMerge w:val="restart"/>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rPr>
              <w:t>上级补助收入</w:t>
            </w:r>
          </w:p>
        </w:tc>
        <w:tc>
          <w:tcPr>
            <w:tcW w:w="662" w:type="dxa"/>
            <w:vMerge w:val="restart"/>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rPr>
              <w:t>附属单位上缴收入</w:t>
            </w:r>
          </w:p>
        </w:tc>
        <w:tc>
          <w:tcPr>
            <w:tcW w:w="613" w:type="dxa"/>
            <w:gridSpan w:val="2"/>
            <w:vMerge w:val="restart"/>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rPr>
              <w:t>其他收入</w:t>
            </w:r>
          </w:p>
        </w:tc>
        <w:tc>
          <w:tcPr>
            <w:tcW w:w="625" w:type="dxa"/>
            <w:vMerge w:val="restart"/>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rPr>
              <w:t>小计</w:t>
            </w:r>
          </w:p>
        </w:tc>
        <w:tc>
          <w:tcPr>
            <w:tcW w:w="2812" w:type="dxa"/>
            <w:gridSpan w:val="4"/>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rPr>
              <w:t>财政拨款结转结余</w:t>
            </w:r>
          </w:p>
        </w:tc>
        <w:tc>
          <w:tcPr>
            <w:tcW w:w="1915" w:type="dxa"/>
            <w:gridSpan w:val="3"/>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rPr>
              <w:t>非财政拨款结转结余</w:t>
            </w:r>
          </w:p>
        </w:tc>
      </w:tr>
      <w:tr>
        <w:tblPrEx>
          <w:tblCellMar>
            <w:top w:w="0" w:type="dxa"/>
            <w:left w:w="108" w:type="dxa"/>
            <w:bottom w:w="0" w:type="dxa"/>
            <w:right w:w="108" w:type="dxa"/>
          </w:tblCellMar>
        </w:tblPrEx>
        <w:trPr>
          <w:trHeight w:val="780" w:hRule="atLeast"/>
        </w:trPr>
        <w:tc>
          <w:tcPr>
            <w:tcW w:w="5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3"/>
                <w:szCs w:val="13"/>
              </w:rPr>
            </w:pPr>
          </w:p>
        </w:tc>
        <w:tc>
          <w:tcPr>
            <w:tcW w:w="1050"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3"/>
                <w:szCs w:val="13"/>
              </w:rPr>
            </w:pPr>
          </w:p>
        </w:tc>
        <w:tc>
          <w:tcPr>
            <w:tcW w:w="550"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3"/>
                <w:szCs w:val="13"/>
              </w:rPr>
            </w:pPr>
          </w:p>
        </w:tc>
        <w:tc>
          <w:tcPr>
            <w:tcW w:w="613" w:type="dxa"/>
            <w:vMerge w:val="continue"/>
            <w:tcBorders>
              <w:top w:val="nil"/>
              <w:left w:val="nil"/>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3"/>
                <w:szCs w:val="13"/>
              </w:rPr>
            </w:pPr>
          </w:p>
        </w:tc>
        <w:tc>
          <w:tcPr>
            <w:tcW w:w="650" w:type="dxa"/>
            <w:vMerge w:val="continue"/>
            <w:tcBorders>
              <w:top w:val="nil"/>
              <w:left w:val="nil"/>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3"/>
                <w:szCs w:val="13"/>
              </w:rPr>
            </w:pPr>
          </w:p>
        </w:tc>
        <w:tc>
          <w:tcPr>
            <w:tcW w:w="612" w:type="dxa"/>
            <w:vMerge w:val="continue"/>
            <w:tcBorders>
              <w:top w:val="nil"/>
              <w:left w:val="nil"/>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3"/>
                <w:szCs w:val="13"/>
              </w:rPr>
            </w:pPr>
          </w:p>
        </w:tc>
        <w:tc>
          <w:tcPr>
            <w:tcW w:w="663" w:type="dxa"/>
            <w:vMerge w:val="continue"/>
            <w:tcBorders>
              <w:top w:val="nil"/>
              <w:left w:val="nil"/>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3"/>
                <w:szCs w:val="13"/>
              </w:rPr>
            </w:pPr>
          </w:p>
        </w:tc>
        <w:tc>
          <w:tcPr>
            <w:tcW w:w="712" w:type="dxa"/>
            <w:vMerge w:val="continue"/>
            <w:tcBorders>
              <w:top w:val="nil"/>
              <w:left w:val="nil"/>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3"/>
                <w:szCs w:val="13"/>
              </w:rPr>
            </w:pPr>
          </w:p>
        </w:tc>
        <w:tc>
          <w:tcPr>
            <w:tcW w:w="650" w:type="dxa"/>
            <w:vMerge w:val="continue"/>
            <w:tcBorders>
              <w:top w:val="nil"/>
              <w:left w:val="nil"/>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3"/>
                <w:szCs w:val="13"/>
              </w:rPr>
            </w:pPr>
          </w:p>
        </w:tc>
        <w:tc>
          <w:tcPr>
            <w:tcW w:w="688" w:type="dxa"/>
            <w:vMerge w:val="continue"/>
            <w:tcBorders>
              <w:top w:val="nil"/>
              <w:left w:val="nil"/>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3"/>
                <w:szCs w:val="13"/>
              </w:rPr>
            </w:pPr>
          </w:p>
        </w:tc>
        <w:tc>
          <w:tcPr>
            <w:tcW w:w="650" w:type="dxa"/>
            <w:vMerge w:val="continue"/>
            <w:tcBorders>
              <w:top w:val="nil"/>
              <w:left w:val="nil"/>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3"/>
                <w:szCs w:val="13"/>
              </w:rPr>
            </w:pPr>
          </w:p>
        </w:tc>
        <w:tc>
          <w:tcPr>
            <w:tcW w:w="662" w:type="dxa"/>
            <w:vMerge w:val="continue"/>
            <w:tcBorders>
              <w:top w:val="nil"/>
              <w:left w:val="nil"/>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3"/>
                <w:szCs w:val="13"/>
              </w:rPr>
            </w:pPr>
          </w:p>
        </w:tc>
        <w:tc>
          <w:tcPr>
            <w:tcW w:w="613" w:type="dxa"/>
            <w:gridSpan w:val="2"/>
            <w:vMerge w:val="continue"/>
            <w:tcBorders>
              <w:top w:val="nil"/>
              <w:left w:val="nil"/>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3"/>
                <w:szCs w:val="13"/>
              </w:rPr>
            </w:pPr>
          </w:p>
        </w:tc>
        <w:tc>
          <w:tcPr>
            <w:tcW w:w="625" w:type="dxa"/>
            <w:vMerge w:val="continue"/>
            <w:tcBorders>
              <w:top w:val="nil"/>
              <w:left w:val="nil"/>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3"/>
                <w:szCs w:val="13"/>
              </w:rPr>
            </w:pPr>
          </w:p>
        </w:tc>
        <w:tc>
          <w:tcPr>
            <w:tcW w:w="70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rPr>
              <w:t>小计</w:t>
            </w:r>
          </w:p>
        </w:tc>
        <w:tc>
          <w:tcPr>
            <w:tcW w:w="71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rPr>
              <w:t>一般公共预算</w:t>
            </w:r>
          </w:p>
        </w:tc>
        <w:tc>
          <w:tcPr>
            <w:tcW w:w="68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rPr>
              <w:t>政府性基金预算</w:t>
            </w:r>
          </w:p>
        </w:tc>
        <w:tc>
          <w:tcPr>
            <w:tcW w:w="71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rPr>
              <w:t>国有资本经营预算</w:t>
            </w:r>
          </w:p>
        </w:tc>
        <w:tc>
          <w:tcPr>
            <w:tcW w:w="63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rPr>
              <w:t>小计</w:t>
            </w:r>
          </w:p>
        </w:tc>
        <w:tc>
          <w:tcPr>
            <w:tcW w:w="63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rPr>
              <w:t>财政专户管理资金</w:t>
            </w:r>
          </w:p>
        </w:tc>
        <w:tc>
          <w:tcPr>
            <w:tcW w:w="63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rPr>
              <w:t>单位资金</w:t>
            </w:r>
          </w:p>
        </w:tc>
      </w:tr>
      <w:tr>
        <w:tblPrEx>
          <w:tblCellMar>
            <w:top w:w="0" w:type="dxa"/>
            <w:left w:w="108" w:type="dxa"/>
            <w:bottom w:w="0" w:type="dxa"/>
            <w:right w:w="108" w:type="dxa"/>
          </w:tblCellMar>
        </w:tblPrEx>
        <w:trPr>
          <w:trHeight w:val="936" w:hRule="atLeast"/>
        </w:trPr>
        <w:tc>
          <w:tcPr>
            <w:tcW w:w="1577" w:type="dxa"/>
            <w:gridSpan w:val="2"/>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11"/>
                <w:szCs w:val="11"/>
              </w:rPr>
            </w:pPr>
            <w:r>
              <w:rPr>
                <w:rFonts w:hint="eastAsia" w:asciiTheme="minorEastAsia" w:hAnsiTheme="minorEastAsia" w:cstheme="minorEastAsia"/>
                <w:color w:val="000000"/>
                <w:sz w:val="11"/>
                <w:szCs w:val="11"/>
              </w:rPr>
              <w:t>合计</w:t>
            </w:r>
          </w:p>
        </w:tc>
        <w:tc>
          <w:tcPr>
            <w:tcW w:w="5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11"/>
                <w:szCs w:val="11"/>
              </w:rPr>
            </w:pPr>
            <w:r>
              <w:rPr>
                <w:rFonts w:hint="eastAsia" w:asciiTheme="minorEastAsia" w:hAnsiTheme="minorEastAsia" w:cstheme="minorEastAsia"/>
                <w:color w:val="000000"/>
                <w:sz w:val="11"/>
                <w:szCs w:val="11"/>
              </w:rPr>
              <w:t>1,159,246.94</w:t>
            </w:r>
          </w:p>
        </w:tc>
        <w:tc>
          <w:tcPr>
            <w:tcW w:w="613"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11"/>
                <w:szCs w:val="11"/>
              </w:rPr>
            </w:pPr>
            <w:r>
              <w:rPr>
                <w:rFonts w:hint="eastAsia" w:asciiTheme="minorEastAsia" w:hAnsiTheme="minorEastAsia" w:cstheme="minorEastAsia"/>
                <w:color w:val="000000"/>
                <w:sz w:val="11"/>
                <w:szCs w:val="11"/>
              </w:rPr>
              <w:t>1,159,246.94</w:t>
            </w:r>
          </w:p>
        </w:tc>
        <w:tc>
          <w:tcPr>
            <w:tcW w:w="6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11"/>
                <w:szCs w:val="11"/>
              </w:rPr>
            </w:pPr>
            <w:r>
              <w:rPr>
                <w:rFonts w:hint="eastAsia" w:asciiTheme="minorEastAsia" w:hAnsiTheme="minorEastAsia" w:cstheme="minorEastAsia"/>
                <w:color w:val="000000"/>
                <w:sz w:val="11"/>
                <w:szCs w:val="11"/>
              </w:rPr>
              <w:t>1,159,246.94</w:t>
            </w:r>
          </w:p>
        </w:tc>
        <w:tc>
          <w:tcPr>
            <w:tcW w:w="612"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11"/>
                <w:szCs w:val="11"/>
              </w:rPr>
            </w:pPr>
          </w:p>
        </w:tc>
        <w:tc>
          <w:tcPr>
            <w:tcW w:w="663"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11"/>
                <w:szCs w:val="11"/>
              </w:rPr>
            </w:pPr>
          </w:p>
        </w:tc>
        <w:tc>
          <w:tcPr>
            <w:tcW w:w="712"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11"/>
                <w:szCs w:val="11"/>
              </w:rPr>
            </w:pPr>
          </w:p>
        </w:tc>
        <w:tc>
          <w:tcPr>
            <w:tcW w:w="6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11"/>
                <w:szCs w:val="11"/>
              </w:rPr>
            </w:pPr>
          </w:p>
        </w:tc>
        <w:tc>
          <w:tcPr>
            <w:tcW w:w="688"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11"/>
                <w:szCs w:val="11"/>
              </w:rPr>
            </w:pPr>
          </w:p>
        </w:tc>
        <w:tc>
          <w:tcPr>
            <w:tcW w:w="6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11"/>
                <w:szCs w:val="11"/>
              </w:rPr>
            </w:pPr>
          </w:p>
        </w:tc>
        <w:tc>
          <w:tcPr>
            <w:tcW w:w="662"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11"/>
                <w:szCs w:val="11"/>
              </w:rPr>
            </w:pPr>
          </w:p>
        </w:tc>
        <w:tc>
          <w:tcPr>
            <w:tcW w:w="613" w:type="dxa"/>
            <w:gridSpan w:val="2"/>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11"/>
                <w:szCs w:val="11"/>
              </w:rPr>
            </w:pPr>
          </w:p>
        </w:tc>
        <w:tc>
          <w:tcPr>
            <w:tcW w:w="625"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11"/>
                <w:szCs w:val="11"/>
              </w:rPr>
            </w:pPr>
          </w:p>
        </w:tc>
        <w:tc>
          <w:tcPr>
            <w:tcW w:w="70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11"/>
                <w:szCs w:val="11"/>
              </w:rPr>
            </w:pPr>
          </w:p>
        </w:tc>
        <w:tc>
          <w:tcPr>
            <w:tcW w:w="712"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11"/>
                <w:szCs w:val="11"/>
              </w:rPr>
            </w:pPr>
          </w:p>
        </w:tc>
        <w:tc>
          <w:tcPr>
            <w:tcW w:w="688"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11"/>
                <w:szCs w:val="11"/>
              </w:rPr>
            </w:pPr>
          </w:p>
        </w:tc>
        <w:tc>
          <w:tcPr>
            <w:tcW w:w="712"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11"/>
                <w:szCs w:val="11"/>
              </w:rPr>
            </w:pPr>
          </w:p>
        </w:tc>
        <w:tc>
          <w:tcPr>
            <w:tcW w:w="638"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11"/>
                <w:szCs w:val="11"/>
              </w:rPr>
            </w:pPr>
          </w:p>
        </w:tc>
        <w:tc>
          <w:tcPr>
            <w:tcW w:w="638"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11"/>
                <w:szCs w:val="11"/>
              </w:rPr>
            </w:pPr>
          </w:p>
        </w:tc>
        <w:tc>
          <w:tcPr>
            <w:tcW w:w="639"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11"/>
                <w:szCs w:val="11"/>
              </w:rPr>
            </w:pPr>
          </w:p>
        </w:tc>
      </w:tr>
      <w:tr>
        <w:tblPrEx>
          <w:tblCellMar>
            <w:top w:w="0" w:type="dxa"/>
            <w:left w:w="108" w:type="dxa"/>
            <w:bottom w:w="0" w:type="dxa"/>
            <w:right w:w="108" w:type="dxa"/>
          </w:tblCellMar>
        </w:tblPrEx>
        <w:trPr>
          <w:trHeight w:val="860" w:hRule="atLeast"/>
        </w:trPr>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1"/>
                <w:szCs w:val="11"/>
              </w:rPr>
            </w:pPr>
            <w:r>
              <w:rPr>
                <w:rFonts w:hint="eastAsia" w:asciiTheme="minorEastAsia" w:hAnsiTheme="minorEastAsia" w:cstheme="minorEastAsia"/>
                <w:color w:val="000000"/>
                <w:sz w:val="11"/>
                <w:szCs w:val="11"/>
              </w:rPr>
              <w:t>502201</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1"/>
                <w:szCs w:val="11"/>
              </w:rPr>
            </w:pPr>
            <w:r>
              <w:rPr>
                <w:rFonts w:hint="eastAsia" w:asciiTheme="minorEastAsia" w:hAnsiTheme="minorEastAsia" w:cstheme="minorEastAsia"/>
                <w:color w:val="000000"/>
                <w:sz w:val="11"/>
                <w:szCs w:val="11"/>
              </w:rPr>
              <w:t>天津市南开区纪委监委综合服务中心</w:t>
            </w: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1"/>
                <w:szCs w:val="11"/>
              </w:rPr>
            </w:pPr>
            <w:r>
              <w:rPr>
                <w:rFonts w:hint="eastAsia" w:asciiTheme="minorEastAsia" w:hAnsiTheme="minorEastAsia" w:cstheme="minorEastAsia"/>
                <w:color w:val="000000"/>
                <w:sz w:val="11"/>
                <w:szCs w:val="11"/>
              </w:rPr>
              <w:t>1,159,246.94</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1"/>
                <w:szCs w:val="11"/>
              </w:rPr>
            </w:pPr>
            <w:r>
              <w:rPr>
                <w:rFonts w:hint="eastAsia" w:asciiTheme="minorEastAsia" w:hAnsiTheme="minorEastAsia" w:cstheme="minorEastAsia"/>
                <w:color w:val="000000"/>
                <w:sz w:val="11"/>
                <w:szCs w:val="11"/>
              </w:rPr>
              <w:t>1,159,246.94</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1"/>
                <w:szCs w:val="11"/>
              </w:rPr>
            </w:pPr>
            <w:r>
              <w:rPr>
                <w:rFonts w:hint="eastAsia" w:asciiTheme="minorEastAsia" w:hAnsiTheme="minorEastAsia" w:cstheme="minorEastAsia"/>
                <w:color w:val="000000"/>
                <w:sz w:val="11"/>
                <w:szCs w:val="11"/>
              </w:rPr>
              <w:t>1,159,246.94</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1"/>
                <w:szCs w:val="11"/>
              </w:rPr>
            </w:pP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1"/>
                <w:szCs w:val="11"/>
              </w:rPr>
            </w:pPr>
          </w:p>
        </w:tc>
        <w:tc>
          <w:tcPr>
            <w:tcW w:w="7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1"/>
                <w:szCs w:val="11"/>
              </w:rPr>
            </w:pP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1"/>
                <w:szCs w:val="11"/>
              </w:rPr>
            </w:pP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1"/>
                <w:szCs w:val="11"/>
              </w:rPr>
            </w:pP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1"/>
                <w:szCs w:val="11"/>
              </w:rPr>
            </w:pP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1"/>
                <w:szCs w:val="11"/>
              </w:rPr>
            </w:pPr>
          </w:p>
        </w:tc>
        <w:tc>
          <w:tcPr>
            <w:tcW w:w="6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1"/>
                <w:szCs w:val="11"/>
              </w:rPr>
            </w:pP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1"/>
                <w:szCs w:val="11"/>
              </w:rPr>
            </w:pP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1"/>
                <w:szCs w:val="11"/>
              </w:rPr>
            </w:pPr>
          </w:p>
        </w:tc>
        <w:tc>
          <w:tcPr>
            <w:tcW w:w="7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1"/>
                <w:szCs w:val="11"/>
              </w:rPr>
            </w:pP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1"/>
                <w:szCs w:val="11"/>
              </w:rPr>
            </w:pPr>
          </w:p>
        </w:tc>
        <w:tc>
          <w:tcPr>
            <w:tcW w:w="7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1"/>
                <w:szCs w:val="11"/>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1"/>
                <w:szCs w:val="11"/>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1"/>
                <w:szCs w:val="11"/>
              </w:rPr>
            </w:pPr>
          </w:p>
        </w:tc>
        <w:tc>
          <w:tcPr>
            <w:tcW w:w="6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1"/>
                <w:szCs w:val="11"/>
              </w:rPr>
            </w:pPr>
          </w:p>
        </w:tc>
      </w:tr>
      <w:tr>
        <w:tblPrEx>
          <w:tblCellMar>
            <w:top w:w="0" w:type="dxa"/>
            <w:left w:w="108" w:type="dxa"/>
            <w:bottom w:w="0" w:type="dxa"/>
            <w:right w:w="108" w:type="dxa"/>
          </w:tblCellMar>
        </w:tblPrEx>
        <w:trPr>
          <w:trHeight w:val="308" w:hRule="atLeast"/>
        </w:trPr>
        <w:tc>
          <w:tcPr>
            <w:tcW w:w="13992" w:type="dxa"/>
            <w:gridSpan w:val="22"/>
            <w:tcBorders>
              <w:top w:val="nil"/>
              <w:left w:val="nil"/>
              <w:bottom w:val="nil"/>
              <w:right w:val="nil"/>
            </w:tcBorders>
            <w:shd w:val="clear" w:color="auto" w:fill="auto"/>
            <w:noWrap/>
            <w:vAlign w:val="center"/>
          </w:tcPr>
          <w:p>
            <w:pPr>
              <w:widowControl/>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注：本表反映本年度取得的各项收入情况。财政专户管理资金是指教育收费；事业收入不含教育收费。</w:t>
            </w:r>
          </w:p>
        </w:tc>
      </w:tr>
    </w:tbl>
    <w:p>
      <w:pPr>
        <w:rPr>
          <w:rFonts w:asciiTheme="minorEastAsia" w:hAnsiTheme="minorEastAsia" w:cstheme="minorEastAsia"/>
          <w:sz w:val="22"/>
          <w:szCs w:val="22"/>
        </w:rPr>
      </w:pPr>
      <w:r>
        <w:rPr>
          <w:rFonts w:hint="eastAsia" w:asciiTheme="minorEastAsia" w:hAnsiTheme="minorEastAsia" w:cstheme="minorEastAsia"/>
          <w:sz w:val="22"/>
          <w:szCs w:val="22"/>
        </w:rPr>
        <w:br w:type="page"/>
      </w:r>
    </w:p>
    <w:p>
      <w:pPr>
        <w:pStyle w:val="28"/>
        <w:widowControl/>
        <w:jc w:val="both"/>
        <w:rPr>
          <w:rFonts w:ascii="仿宋" w:hAnsi="仿宋" w:eastAsia="仿宋" w:cs="仿宋"/>
          <w:b/>
          <w:bCs/>
        </w:rPr>
      </w:pPr>
      <w:r>
        <w:rPr>
          <w:rFonts w:hint="eastAsia" w:ascii="仿宋" w:hAnsi="仿宋" w:eastAsia="仿宋" w:cs="仿宋"/>
          <w:b/>
          <w:bCs/>
        </w:rPr>
        <w:t xml:space="preserve">四、支出决算表 </w:t>
      </w:r>
    </w:p>
    <w:tbl>
      <w:tblPr>
        <w:tblStyle w:val="11"/>
        <w:tblW w:w="13990" w:type="dxa"/>
        <w:tblInd w:w="0" w:type="dxa"/>
        <w:tblLayout w:type="fixed"/>
        <w:tblCellMar>
          <w:top w:w="0" w:type="dxa"/>
          <w:left w:w="108" w:type="dxa"/>
          <w:bottom w:w="0" w:type="dxa"/>
          <w:right w:w="108" w:type="dxa"/>
        </w:tblCellMar>
      </w:tblPr>
      <w:tblGrid>
        <w:gridCol w:w="1325"/>
        <w:gridCol w:w="2188"/>
        <w:gridCol w:w="1845"/>
        <w:gridCol w:w="1800"/>
        <w:gridCol w:w="1800"/>
        <w:gridCol w:w="1815"/>
        <w:gridCol w:w="1628"/>
        <w:gridCol w:w="1589"/>
      </w:tblGrid>
      <w:tr>
        <w:tblPrEx>
          <w:tblCellMar>
            <w:top w:w="0" w:type="dxa"/>
            <w:left w:w="108" w:type="dxa"/>
            <w:bottom w:w="0" w:type="dxa"/>
            <w:right w:w="108" w:type="dxa"/>
          </w:tblCellMar>
        </w:tblPrEx>
        <w:trPr>
          <w:trHeight w:val="320" w:hRule="atLeast"/>
        </w:trPr>
        <w:tc>
          <w:tcPr>
            <w:tcW w:w="12401" w:type="dxa"/>
            <w:gridSpan w:val="7"/>
            <w:tcBorders>
              <w:top w:val="nil"/>
              <w:left w:val="nil"/>
              <w:bottom w:val="nil"/>
              <w:right w:val="nil"/>
            </w:tcBorders>
            <w:shd w:val="clear" w:color="auto" w:fill="auto"/>
            <w:noWrap/>
            <w:vAlign w:val="bottom"/>
          </w:tcPr>
          <w:p>
            <w:pPr>
              <w:widowControl/>
              <w:textAlignment w:val="bottom"/>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部门（单位）：天津市南开区纪委监委综合服务中心 </w:t>
            </w:r>
          </w:p>
        </w:tc>
        <w:tc>
          <w:tcPr>
            <w:tcW w:w="1589" w:type="dxa"/>
            <w:tcBorders>
              <w:top w:val="nil"/>
              <w:left w:val="nil"/>
              <w:bottom w:val="nil"/>
              <w:right w:val="nil"/>
            </w:tcBorders>
            <w:shd w:val="clear" w:color="auto" w:fill="auto"/>
            <w:noWrap/>
            <w:vAlign w:val="bottom"/>
          </w:tcPr>
          <w:p>
            <w:pPr>
              <w:widowControl/>
              <w:textAlignment w:val="bottom"/>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单位：元</w:t>
            </w:r>
          </w:p>
        </w:tc>
      </w:tr>
      <w:tr>
        <w:tblPrEx>
          <w:tblCellMar>
            <w:top w:w="0" w:type="dxa"/>
            <w:left w:w="108" w:type="dxa"/>
            <w:bottom w:w="0" w:type="dxa"/>
            <w:right w:w="108" w:type="dxa"/>
          </w:tblCellMar>
        </w:tblPrEx>
        <w:trPr>
          <w:trHeight w:val="308" w:hRule="atLeast"/>
        </w:trPr>
        <w:tc>
          <w:tcPr>
            <w:tcW w:w="351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支出功能分类科目</w:t>
            </w:r>
          </w:p>
        </w:tc>
        <w:tc>
          <w:tcPr>
            <w:tcW w:w="1845" w:type="dxa"/>
            <w:vMerge w:val="restart"/>
            <w:tcBorders>
              <w:top w:val="single" w:color="000000" w:sz="4" w:space="0"/>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本年支出合计</w:t>
            </w:r>
          </w:p>
        </w:tc>
        <w:tc>
          <w:tcPr>
            <w:tcW w:w="1800" w:type="dxa"/>
            <w:vMerge w:val="restart"/>
            <w:tcBorders>
              <w:top w:val="single" w:color="000000" w:sz="4" w:space="0"/>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基本支出</w:t>
            </w:r>
          </w:p>
        </w:tc>
        <w:tc>
          <w:tcPr>
            <w:tcW w:w="1800" w:type="dxa"/>
            <w:vMerge w:val="restart"/>
            <w:tcBorders>
              <w:top w:val="single" w:color="000000" w:sz="4" w:space="0"/>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项目支出</w:t>
            </w:r>
          </w:p>
        </w:tc>
        <w:tc>
          <w:tcPr>
            <w:tcW w:w="1815" w:type="dxa"/>
            <w:vMerge w:val="restart"/>
            <w:tcBorders>
              <w:top w:val="single" w:color="000000" w:sz="4" w:space="0"/>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上缴上级支出</w:t>
            </w:r>
          </w:p>
        </w:tc>
        <w:tc>
          <w:tcPr>
            <w:tcW w:w="1628" w:type="dxa"/>
            <w:vMerge w:val="restart"/>
            <w:tcBorders>
              <w:top w:val="single" w:color="000000" w:sz="4" w:space="0"/>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经营支出</w:t>
            </w:r>
          </w:p>
        </w:tc>
        <w:tc>
          <w:tcPr>
            <w:tcW w:w="1589" w:type="dxa"/>
            <w:vMerge w:val="restart"/>
            <w:tcBorders>
              <w:top w:val="single" w:color="000000" w:sz="4" w:space="0"/>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对附属单位补助支出</w:t>
            </w:r>
          </w:p>
        </w:tc>
      </w:tr>
      <w:tr>
        <w:tblPrEx>
          <w:tblCellMar>
            <w:top w:w="0" w:type="dxa"/>
            <w:left w:w="108" w:type="dxa"/>
            <w:bottom w:w="0" w:type="dxa"/>
            <w:right w:w="108" w:type="dxa"/>
          </w:tblCellMar>
        </w:tblPrEx>
        <w:trPr>
          <w:trHeight w:val="308" w:hRule="atLeast"/>
        </w:trPr>
        <w:tc>
          <w:tcPr>
            <w:tcW w:w="1325" w:type="dxa"/>
            <w:tcBorders>
              <w:top w:val="nil"/>
              <w:left w:val="single" w:color="000000" w:sz="4" w:space="0"/>
              <w:bottom w:val="nil"/>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科目编码</w:t>
            </w:r>
          </w:p>
        </w:tc>
        <w:tc>
          <w:tcPr>
            <w:tcW w:w="2188" w:type="dxa"/>
            <w:tcBorders>
              <w:top w:val="nil"/>
              <w:left w:val="nil"/>
              <w:bottom w:val="nil"/>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科目名称</w:t>
            </w:r>
          </w:p>
        </w:tc>
        <w:tc>
          <w:tcPr>
            <w:tcW w:w="1845" w:type="dxa"/>
            <w:vMerge w:val="continue"/>
            <w:tcBorders>
              <w:top w:val="single" w:color="000000" w:sz="4" w:space="0"/>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1800" w:type="dxa"/>
            <w:vMerge w:val="continue"/>
            <w:tcBorders>
              <w:top w:val="single" w:color="000000" w:sz="4" w:space="0"/>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1800" w:type="dxa"/>
            <w:vMerge w:val="continue"/>
            <w:tcBorders>
              <w:top w:val="single" w:color="000000" w:sz="4" w:space="0"/>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1815" w:type="dxa"/>
            <w:vMerge w:val="continue"/>
            <w:tcBorders>
              <w:top w:val="single" w:color="000000" w:sz="4" w:space="0"/>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1628" w:type="dxa"/>
            <w:vMerge w:val="continue"/>
            <w:tcBorders>
              <w:top w:val="single" w:color="000000" w:sz="4" w:space="0"/>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1589" w:type="dxa"/>
            <w:vMerge w:val="continue"/>
            <w:tcBorders>
              <w:top w:val="single" w:color="000000" w:sz="4" w:space="0"/>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700" w:hRule="atLeast"/>
        </w:trPr>
        <w:tc>
          <w:tcPr>
            <w:tcW w:w="351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合计</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1,159,246.94</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1,072,120.73</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87,126.21</w:t>
            </w: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201</w:t>
            </w:r>
          </w:p>
        </w:tc>
        <w:tc>
          <w:tcPr>
            <w:tcW w:w="21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一般公共服务支出</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994,136.52</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907,010.31</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87,126.21</w:t>
            </w: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20111</w:t>
            </w:r>
          </w:p>
        </w:tc>
        <w:tc>
          <w:tcPr>
            <w:tcW w:w="21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纪检监察事务</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994,136.52</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907,010.31</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87,126.21</w:t>
            </w: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2011150</w:t>
            </w:r>
          </w:p>
        </w:tc>
        <w:tc>
          <w:tcPr>
            <w:tcW w:w="21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事业运行</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907,010.31</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907,010.31</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2011199</w:t>
            </w:r>
          </w:p>
        </w:tc>
        <w:tc>
          <w:tcPr>
            <w:tcW w:w="21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其他纪检监察事务支出</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87,126.21</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87,126.21</w:t>
            </w: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208</w:t>
            </w:r>
          </w:p>
        </w:tc>
        <w:tc>
          <w:tcPr>
            <w:tcW w:w="21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社会保障和就业支出</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116,548.32</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116,548.32</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20805</w:t>
            </w:r>
          </w:p>
        </w:tc>
        <w:tc>
          <w:tcPr>
            <w:tcW w:w="21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行政事业单位养老支出</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116,548.32</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116,548.32</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2080505</w:t>
            </w:r>
          </w:p>
        </w:tc>
        <w:tc>
          <w:tcPr>
            <w:tcW w:w="21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机关事业单位基本养老保险缴费支出</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77,698.88</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77,698.88</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2080506</w:t>
            </w:r>
          </w:p>
        </w:tc>
        <w:tc>
          <w:tcPr>
            <w:tcW w:w="21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机关事业单位职业年金缴费支出</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38,849.44</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38,849.44</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210</w:t>
            </w:r>
          </w:p>
        </w:tc>
        <w:tc>
          <w:tcPr>
            <w:tcW w:w="21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卫生健康支出</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48,562.10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48,562.10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21011</w:t>
            </w:r>
          </w:p>
        </w:tc>
        <w:tc>
          <w:tcPr>
            <w:tcW w:w="21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行政事业单位医疗</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48,562.10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48,562.10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2101102</w:t>
            </w:r>
          </w:p>
        </w:tc>
        <w:tc>
          <w:tcPr>
            <w:tcW w:w="21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事业单位医疗</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48,562.10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48,562.10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13990" w:type="dxa"/>
            <w:gridSpan w:val="8"/>
            <w:tcBorders>
              <w:top w:val="nil"/>
              <w:left w:val="nil"/>
              <w:bottom w:val="nil"/>
              <w:right w:val="nil"/>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注：本表反映本年度各项支出情况。</w:t>
            </w:r>
          </w:p>
        </w:tc>
      </w:tr>
    </w:tbl>
    <w:p>
      <w:pPr>
        <w:rPr>
          <w:rFonts w:asciiTheme="minorEastAsia" w:hAnsiTheme="minorEastAsia" w:cstheme="minorEastAsia"/>
          <w:sz w:val="22"/>
          <w:szCs w:val="22"/>
        </w:rPr>
      </w:pPr>
      <w:r>
        <w:rPr>
          <w:rFonts w:hint="eastAsia" w:asciiTheme="minorEastAsia" w:hAnsiTheme="minorEastAsia" w:cstheme="minorEastAsia"/>
          <w:sz w:val="22"/>
          <w:szCs w:val="22"/>
        </w:rPr>
        <w:br w:type="page"/>
      </w:r>
    </w:p>
    <w:p>
      <w:pPr>
        <w:pStyle w:val="28"/>
        <w:widowControl/>
        <w:jc w:val="both"/>
        <w:rPr>
          <w:rFonts w:ascii="仿宋" w:hAnsi="仿宋" w:eastAsia="仿宋" w:cs="仿宋"/>
          <w:b/>
          <w:bCs/>
        </w:rPr>
      </w:pPr>
      <w:r>
        <w:rPr>
          <w:rFonts w:hint="eastAsia" w:ascii="仿宋" w:hAnsi="仿宋" w:eastAsia="仿宋" w:cs="仿宋"/>
          <w:b/>
          <w:bCs/>
        </w:rPr>
        <w:t>五、财政拨款收入支出决算总表</w:t>
      </w:r>
    </w:p>
    <w:tbl>
      <w:tblPr>
        <w:tblStyle w:val="11"/>
        <w:tblW w:w="13991" w:type="dxa"/>
        <w:tblInd w:w="0" w:type="dxa"/>
        <w:tblLayout w:type="fixed"/>
        <w:tblCellMar>
          <w:top w:w="0" w:type="dxa"/>
          <w:left w:w="108" w:type="dxa"/>
          <w:bottom w:w="0" w:type="dxa"/>
          <w:right w:w="108" w:type="dxa"/>
        </w:tblCellMar>
      </w:tblPr>
      <w:tblGrid>
        <w:gridCol w:w="2317"/>
        <w:gridCol w:w="1883"/>
        <w:gridCol w:w="2350"/>
        <w:gridCol w:w="1850"/>
        <w:gridCol w:w="1791"/>
        <w:gridCol w:w="1827"/>
        <w:gridCol w:w="1973"/>
      </w:tblGrid>
      <w:tr>
        <w:tblPrEx>
          <w:tblCellMar>
            <w:top w:w="0" w:type="dxa"/>
            <w:left w:w="108" w:type="dxa"/>
            <w:bottom w:w="0" w:type="dxa"/>
            <w:right w:w="108" w:type="dxa"/>
          </w:tblCellMar>
        </w:tblPrEx>
        <w:trPr>
          <w:trHeight w:val="320" w:hRule="atLeast"/>
        </w:trPr>
        <w:tc>
          <w:tcPr>
            <w:tcW w:w="12018" w:type="dxa"/>
            <w:gridSpan w:val="6"/>
            <w:tcBorders>
              <w:top w:val="nil"/>
              <w:left w:val="nil"/>
              <w:bottom w:val="nil"/>
              <w:right w:val="nil"/>
            </w:tcBorders>
            <w:shd w:val="clear" w:color="auto" w:fill="auto"/>
            <w:noWrap/>
            <w:vAlign w:val="bottom"/>
          </w:tcPr>
          <w:p>
            <w:pPr>
              <w:widowControl/>
              <w:textAlignment w:val="bottom"/>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部门（单位）：天津市南开区纪委监委综合服务中心 </w:t>
            </w:r>
          </w:p>
        </w:tc>
        <w:tc>
          <w:tcPr>
            <w:tcW w:w="1973" w:type="dxa"/>
            <w:tcBorders>
              <w:top w:val="nil"/>
              <w:left w:val="nil"/>
              <w:bottom w:val="nil"/>
              <w:right w:val="nil"/>
            </w:tcBorders>
            <w:shd w:val="clear" w:color="auto" w:fill="auto"/>
            <w:noWrap/>
            <w:vAlign w:val="bottom"/>
          </w:tcPr>
          <w:p>
            <w:pPr>
              <w:widowControl/>
              <w:textAlignment w:val="bottom"/>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单位：元</w:t>
            </w:r>
          </w:p>
        </w:tc>
      </w:tr>
      <w:tr>
        <w:tblPrEx>
          <w:tblCellMar>
            <w:top w:w="0" w:type="dxa"/>
            <w:left w:w="108" w:type="dxa"/>
            <w:bottom w:w="0" w:type="dxa"/>
            <w:right w:w="108" w:type="dxa"/>
          </w:tblCellMar>
        </w:tblPrEx>
        <w:trPr>
          <w:trHeight w:val="308" w:hRule="atLeast"/>
        </w:trPr>
        <w:tc>
          <w:tcPr>
            <w:tcW w:w="42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收入</w:t>
            </w:r>
          </w:p>
        </w:tc>
        <w:tc>
          <w:tcPr>
            <w:tcW w:w="9791" w:type="dxa"/>
            <w:gridSpan w:val="5"/>
            <w:tcBorders>
              <w:top w:val="single" w:color="000000" w:sz="4" w:space="0"/>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支出</w:t>
            </w:r>
          </w:p>
        </w:tc>
      </w:tr>
      <w:tr>
        <w:tblPrEx>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项    目</w:t>
            </w:r>
          </w:p>
        </w:tc>
        <w:tc>
          <w:tcPr>
            <w:tcW w:w="1883"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金额</w:t>
            </w:r>
          </w:p>
        </w:tc>
        <w:tc>
          <w:tcPr>
            <w:tcW w:w="235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项    目</w:t>
            </w:r>
          </w:p>
        </w:tc>
        <w:tc>
          <w:tcPr>
            <w:tcW w:w="185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合计</w:t>
            </w:r>
          </w:p>
        </w:tc>
        <w:tc>
          <w:tcPr>
            <w:tcW w:w="1791"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一般公共预算财政拨款</w:t>
            </w:r>
          </w:p>
        </w:tc>
        <w:tc>
          <w:tcPr>
            <w:tcW w:w="1827"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政府性基金预算财政拨款</w:t>
            </w:r>
          </w:p>
        </w:tc>
        <w:tc>
          <w:tcPr>
            <w:tcW w:w="1973"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国有资本经营预算财政拨款</w:t>
            </w:r>
          </w:p>
        </w:tc>
      </w:tr>
      <w:tr>
        <w:tblPrEx>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一、一般公共预算财政拨款</w:t>
            </w:r>
          </w:p>
        </w:tc>
        <w:tc>
          <w:tcPr>
            <w:tcW w:w="1883"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1,159,246.94</w:t>
            </w:r>
          </w:p>
        </w:tc>
        <w:tc>
          <w:tcPr>
            <w:tcW w:w="23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一、一般公共服务支出</w:t>
            </w:r>
          </w:p>
        </w:tc>
        <w:tc>
          <w:tcPr>
            <w:tcW w:w="185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994,136.52</w:t>
            </w:r>
          </w:p>
        </w:tc>
        <w:tc>
          <w:tcPr>
            <w:tcW w:w="179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994,136.52</w:t>
            </w:r>
          </w:p>
        </w:tc>
        <w:tc>
          <w:tcPr>
            <w:tcW w:w="182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973"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二、政府性基金预算财政拨款</w:t>
            </w:r>
          </w:p>
        </w:tc>
        <w:tc>
          <w:tcPr>
            <w:tcW w:w="1883"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23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二、公共安全支出</w:t>
            </w:r>
          </w:p>
        </w:tc>
        <w:tc>
          <w:tcPr>
            <w:tcW w:w="185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79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82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973"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三、国有资本经营预算财政拨款</w:t>
            </w:r>
          </w:p>
        </w:tc>
        <w:tc>
          <w:tcPr>
            <w:tcW w:w="1883"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23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三、教育支出</w:t>
            </w:r>
          </w:p>
        </w:tc>
        <w:tc>
          <w:tcPr>
            <w:tcW w:w="185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79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82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973"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1883" w:type="dxa"/>
            <w:tcBorders>
              <w:top w:val="nil"/>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23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四、科学技术支出</w:t>
            </w:r>
          </w:p>
        </w:tc>
        <w:tc>
          <w:tcPr>
            <w:tcW w:w="185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79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82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973"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1883" w:type="dxa"/>
            <w:tcBorders>
              <w:top w:val="nil"/>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23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五、文化旅游体育与传媒支出</w:t>
            </w:r>
          </w:p>
        </w:tc>
        <w:tc>
          <w:tcPr>
            <w:tcW w:w="185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79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82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973"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1883" w:type="dxa"/>
            <w:tcBorders>
              <w:top w:val="nil"/>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23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六、社会保障和就业支出</w:t>
            </w:r>
          </w:p>
        </w:tc>
        <w:tc>
          <w:tcPr>
            <w:tcW w:w="185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116,548.32</w:t>
            </w:r>
          </w:p>
        </w:tc>
        <w:tc>
          <w:tcPr>
            <w:tcW w:w="179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116,548.32</w:t>
            </w:r>
          </w:p>
        </w:tc>
        <w:tc>
          <w:tcPr>
            <w:tcW w:w="182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973"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1883" w:type="dxa"/>
            <w:tcBorders>
              <w:top w:val="nil"/>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23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七、卫生健康支出</w:t>
            </w:r>
          </w:p>
        </w:tc>
        <w:tc>
          <w:tcPr>
            <w:tcW w:w="185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48,562.10</w:t>
            </w:r>
          </w:p>
        </w:tc>
        <w:tc>
          <w:tcPr>
            <w:tcW w:w="179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48,562.10</w:t>
            </w:r>
          </w:p>
        </w:tc>
        <w:tc>
          <w:tcPr>
            <w:tcW w:w="182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973"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1883" w:type="dxa"/>
            <w:tcBorders>
              <w:top w:val="nil"/>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23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八、节能环保支出</w:t>
            </w:r>
          </w:p>
        </w:tc>
        <w:tc>
          <w:tcPr>
            <w:tcW w:w="18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791"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82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973"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1883" w:type="dxa"/>
            <w:tcBorders>
              <w:top w:val="nil"/>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23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九、城乡社区支出</w:t>
            </w:r>
          </w:p>
        </w:tc>
        <w:tc>
          <w:tcPr>
            <w:tcW w:w="18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791"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82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973"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1883" w:type="dxa"/>
            <w:tcBorders>
              <w:top w:val="nil"/>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23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十、农林水支出</w:t>
            </w:r>
          </w:p>
        </w:tc>
        <w:tc>
          <w:tcPr>
            <w:tcW w:w="18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791"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82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973"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1883" w:type="dxa"/>
            <w:tcBorders>
              <w:top w:val="nil"/>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23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十一、交通运输支出</w:t>
            </w:r>
          </w:p>
        </w:tc>
        <w:tc>
          <w:tcPr>
            <w:tcW w:w="18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791"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82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973"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1883" w:type="dxa"/>
            <w:tcBorders>
              <w:top w:val="nil"/>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23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十二、资源勘探工业信息等支出</w:t>
            </w:r>
          </w:p>
        </w:tc>
        <w:tc>
          <w:tcPr>
            <w:tcW w:w="18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791"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82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973"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1883" w:type="dxa"/>
            <w:tcBorders>
              <w:top w:val="nil"/>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23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十三、商业服务业等支出</w:t>
            </w:r>
          </w:p>
        </w:tc>
        <w:tc>
          <w:tcPr>
            <w:tcW w:w="18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791"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82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973"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1883" w:type="dxa"/>
            <w:tcBorders>
              <w:top w:val="nil"/>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23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十四、金融支出</w:t>
            </w:r>
          </w:p>
        </w:tc>
        <w:tc>
          <w:tcPr>
            <w:tcW w:w="18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791"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82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973"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1883" w:type="dxa"/>
            <w:tcBorders>
              <w:top w:val="nil"/>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23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十五、援助其他地区支出</w:t>
            </w:r>
          </w:p>
        </w:tc>
        <w:tc>
          <w:tcPr>
            <w:tcW w:w="18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791"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82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973"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1883" w:type="dxa"/>
            <w:tcBorders>
              <w:top w:val="nil"/>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23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十六、自然资源海洋气象等支出</w:t>
            </w:r>
          </w:p>
        </w:tc>
        <w:tc>
          <w:tcPr>
            <w:tcW w:w="18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791"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82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973"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1883" w:type="dxa"/>
            <w:tcBorders>
              <w:top w:val="nil"/>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23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十七、住房保障支出</w:t>
            </w:r>
          </w:p>
        </w:tc>
        <w:tc>
          <w:tcPr>
            <w:tcW w:w="18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791"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82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973"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1883" w:type="dxa"/>
            <w:tcBorders>
              <w:top w:val="nil"/>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23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十八、粮油物资储备支出</w:t>
            </w:r>
          </w:p>
        </w:tc>
        <w:tc>
          <w:tcPr>
            <w:tcW w:w="18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791"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82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973"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1883" w:type="dxa"/>
            <w:tcBorders>
              <w:top w:val="nil"/>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23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十九、国有资本经营预算支出</w:t>
            </w:r>
          </w:p>
        </w:tc>
        <w:tc>
          <w:tcPr>
            <w:tcW w:w="18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791"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82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973"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1883" w:type="dxa"/>
            <w:tcBorders>
              <w:top w:val="nil"/>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23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二十、灾害防治及应急管理支出</w:t>
            </w:r>
          </w:p>
        </w:tc>
        <w:tc>
          <w:tcPr>
            <w:tcW w:w="18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791"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82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973"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1883" w:type="dxa"/>
            <w:tcBorders>
              <w:top w:val="nil"/>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23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二十一、其他支出</w:t>
            </w:r>
          </w:p>
        </w:tc>
        <w:tc>
          <w:tcPr>
            <w:tcW w:w="18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791"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82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973"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1883" w:type="dxa"/>
            <w:tcBorders>
              <w:top w:val="nil"/>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23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二十二、债务付息支出</w:t>
            </w:r>
          </w:p>
        </w:tc>
        <w:tc>
          <w:tcPr>
            <w:tcW w:w="18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791"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82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973"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1883" w:type="dxa"/>
            <w:tcBorders>
              <w:top w:val="nil"/>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23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二十三、抗疫特别国债安排的支出</w:t>
            </w:r>
          </w:p>
        </w:tc>
        <w:tc>
          <w:tcPr>
            <w:tcW w:w="18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791"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82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973"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本年收入合计</w:t>
            </w:r>
          </w:p>
        </w:tc>
        <w:tc>
          <w:tcPr>
            <w:tcW w:w="1883"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1,159,246.94</w:t>
            </w:r>
          </w:p>
        </w:tc>
        <w:tc>
          <w:tcPr>
            <w:tcW w:w="235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本年支出合计</w:t>
            </w:r>
          </w:p>
        </w:tc>
        <w:tc>
          <w:tcPr>
            <w:tcW w:w="185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1,159,246.94</w:t>
            </w:r>
          </w:p>
        </w:tc>
        <w:tc>
          <w:tcPr>
            <w:tcW w:w="179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1,159,246.94</w:t>
            </w:r>
          </w:p>
        </w:tc>
        <w:tc>
          <w:tcPr>
            <w:tcW w:w="182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973"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年初财政拨款结转和结余</w:t>
            </w:r>
          </w:p>
        </w:tc>
        <w:tc>
          <w:tcPr>
            <w:tcW w:w="1883"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23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年末财政拨款结转和结余</w:t>
            </w:r>
          </w:p>
        </w:tc>
        <w:tc>
          <w:tcPr>
            <w:tcW w:w="18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791"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82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973"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一般公共预算财政拨款</w:t>
            </w:r>
          </w:p>
        </w:tc>
        <w:tc>
          <w:tcPr>
            <w:tcW w:w="1883"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2350" w:type="dxa"/>
            <w:tcBorders>
              <w:top w:val="nil"/>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1850" w:type="dxa"/>
            <w:tcBorders>
              <w:top w:val="nil"/>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1791" w:type="dxa"/>
            <w:tcBorders>
              <w:top w:val="nil"/>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1827" w:type="dxa"/>
            <w:tcBorders>
              <w:top w:val="nil"/>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1973" w:type="dxa"/>
            <w:tcBorders>
              <w:top w:val="nil"/>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政府性基金预算财政拨款</w:t>
            </w:r>
          </w:p>
        </w:tc>
        <w:tc>
          <w:tcPr>
            <w:tcW w:w="1883"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2350" w:type="dxa"/>
            <w:tcBorders>
              <w:top w:val="nil"/>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1850" w:type="dxa"/>
            <w:tcBorders>
              <w:top w:val="nil"/>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1791" w:type="dxa"/>
            <w:tcBorders>
              <w:top w:val="nil"/>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1827" w:type="dxa"/>
            <w:tcBorders>
              <w:top w:val="nil"/>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1973" w:type="dxa"/>
            <w:tcBorders>
              <w:top w:val="nil"/>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国有资本经营预算财政拨款</w:t>
            </w:r>
          </w:p>
        </w:tc>
        <w:tc>
          <w:tcPr>
            <w:tcW w:w="1883"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2350" w:type="dxa"/>
            <w:tcBorders>
              <w:top w:val="nil"/>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1850" w:type="dxa"/>
            <w:tcBorders>
              <w:top w:val="nil"/>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1791" w:type="dxa"/>
            <w:tcBorders>
              <w:top w:val="nil"/>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1827" w:type="dxa"/>
            <w:tcBorders>
              <w:top w:val="nil"/>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1973" w:type="dxa"/>
            <w:tcBorders>
              <w:top w:val="nil"/>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合计</w:t>
            </w:r>
          </w:p>
        </w:tc>
        <w:tc>
          <w:tcPr>
            <w:tcW w:w="1883"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1,159,246.94</w:t>
            </w:r>
          </w:p>
        </w:tc>
        <w:tc>
          <w:tcPr>
            <w:tcW w:w="235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合计</w:t>
            </w:r>
          </w:p>
        </w:tc>
        <w:tc>
          <w:tcPr>
            <w:tcW w:w="185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1,159,246.94</w:t>
            </w:r>
          </w:p>
        </w:tc>
        <w:tc>
          <w:tcPr>
            <w:tcW w:w="1791"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1,159,246.94</w:t>
            </w:r>
          </w:p>
        </w:tc>
        <w:tc>
          <w:tcPr>
            <w:tcW w:w="182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973"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462" w:hRule="atLeast"/>
        </w:trPr>
        <w:tc>
          <w:tcPr>
            <w:tcW w:w="13991" w:type="dxa"/>
            <w:gridSpan w:val="7"/>
            <w:tcBorders>
              <w:top w:val="nil"/>
              <w:left w:val="nil"/>
              <w:bottom w:val="nil"/>
              <w:right w:val="nil"/>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注：本表反映本年度一般公共预算财政拨款、政府性基金预算财政拨款和国有资本经营预算财政拨款的总收支和年末结转结余情况。</w:t>
            </w:r>
          </w:p>
        </w:tc>
      </w:tr>
    </w:tbl>
    <w:p>
      <w:pPr>
        <w:rPr>
          <w:rFonts w:asciiTheme="minorEastAsia" w:hAnsiTheme="minorEastAsia" w:cstheme="minorEastAsia"/>
          <w:sz w:val="22"/>
          <w:szCs w:val="22"/>
        </w:rPr>
      </w:pPr>
      <w:r>
        <w:rPr>
          <w:rFonts w:hint="eastAsia" w:asciiTheme="minorEastAsia" w:hAnsiTheme="minorEastAsia" w:cstheme="minorEastAsia"/>
          <w:sz w:val="22"/>
          <w:szCs w:val="22"/>
        </w:rPr>
        <w:br w:type="page"/>
      </w:r>
    </w:p>
    <w:p>
      <w:pPr>
        <w:pStyle w:val="28"/>
        <w:widowControl/>
        <w:numPr>
          <w:ilvl w:val="0"/>
          <w:numId w:val="2"/>
        </w:numPr>
        <w:jc w:val="both"/>
        <w:rPr>
          <w:rFonts w:ascii="仿宋" w:hAnsi="仿宋" w:eastAsia="仿宋" w:cs="仿宋"/>
          <w:b/>
          <w:bCs/>
        </w:rPr>
      </w:pPr>
      <w:r>
        <w:rPr>
          <w:rFonts w:hint="eastAsia" w:ascii="仿宋" w:hAnsi="仿宋" w:eastAsia="仿宋" w:cs="仿宋"/>
          <w:b/>
          <w:bCs/>
        </w:rPr>
        <w:t xml:space="preserve">一般公共预算财政拨款支出决算表 </w:t>
      </w:r>
    </w:p>
    <w:tbl>
      <w:tblPr>
        <w:tblStyle w:val="11"/>
        <w:tblW w:w="13992" w:type="dxa"/>
        <w:tblInd w:w="0" w:type="dxa"/>
        <w:tblLayout w:type="fixed"/>
        <w:tblCellMar>
          <w:top w:w="0" w:type="dxa"/>
          <w:left w:w="108" w:type="dxa"/>
          <w:bottom w:w="0" w:type="dxa"/>
          <w:right w:w="108" w:type="dxa"/>
        </w:tblCellMar>
      </w:tblPr>
      <w:tblGrid>
        <w:gridCol w:w="1319"/>
        <w:gridCol w:w="4092"/>
        <w:gridCol w:w="1800"/>
        <w:gridCol w:w="1662"/>
        <w:gridCol w:w="1738"/>
        <w:gridCol w:w="1708"/>
        <w:gridCol w:w="1673"/>
      </w:tblGrid>
      <w:tr>
        <w:tblPrEx>
          <w:tblCellMar>
            <w:top w:w="0" w:type="dxa"/>
            <w:left w:w="108" w:type="dxa"/>
            <w:bottom w:w="0" w:type="dxa"/>
            <w:right w:w="108" w:type="dxa"/>
          </w:tblCellMar>
        </w:tblPrEx>
        <w:trPr>
          <w:trHeight w:val="320" w:hRule="atLeast"/>
        </w:trPr>
        <w:tc>
          <w:tcPr>
            <w:tcW w:w="12319" w:type="dxa"/>
            <w:gridSpan w:val="6"/>
            <w:tcBorders>
              <w:top w:val="nil"/>
              <w:left w:val="nil"/>
              <w:bottom w:val="nil"/>
              <w:right w:val="nil"/>
            </w:tcBorders>
            <w:shd w:val="clear" w:color="auto" w:fill="auto"/>
            <w:noWrap/>
            <w:vAlign w:val="bottom"/>
          </w:tcPr>
          <w:p>
            <w:pPr>
              <w:widowControl/>
              <w:textAlignment w:val="bottom"/>
              <w:rPr>
                <w:rFonts w:ascii="宋体-简" w:hAnsi="宋体-简" w:eastAsia="宋体-简" w:cs="宋体-简"/>
                <w:color w:val="000000"/>
                <w:sz w:val="20"/>
                <w:szCs w:val="20"/>
              </w:rPr>
            </w:pPr>
            <w:r>
              <w:rPr>
                <w:rFonts w:hint="eastAsia" w:ascii="宋体-简" w:hAnsi="宋体-简" w:eastAsia="宋体-简" w:cs="宋体-简"/>
                <w:color w:val="000000"/>
                <w:sz w:val="20"/>
                <w:szCs w:val="20"/>
              </w:rPr>
              <w:t>部门（单位）：</w:t>
            </w:r>
            <w:r>
              <w:rPr>
                <w:rFonts w:ascii="Arial" w:hAnsi="Arial" w:eastAsia="宋体-简" w:cs="Arial"/>
                <w:color w:val="000000"/>
                <w:sz w:val="20"/>
                <w:szCs w:val="20"/>
              </w:rPr>
              <w:t xml:space="preserve">天津市南开区纪委监委综合服务中心 </w:t>
            </w:r>
          </w:p>
        </w:tc>
        <w:tc>
          <w:tcPr>
            <w:tcW w:w="1673" w:type="dxa"/>
            <w:tcBorders>
              <w:top w:val="nil"/>
              <w:left w:val="nil"/>
              <w:bottom w:val="nil"/>
              <w:right w:val="nil"/>
            </w:tcBorders>
            <w:shd w:val="clear" w:color="auto" w:fill="auto"/>
            <w:noWrap/>
            <w:vAlign w:val="bottom"/>
          </w:tcPr>
          <w:p>
            <w:pPr>
              <w:widowControl/>
              <w:textAlignment w:val="bottom"/>
              <w:rPr>
                <w:rFonts w:ascii="宋体" w:hAnsi="宋体" w:eastAsia="宋体"/>
                <w:color w:val="000000"/>
                <w:sz w:val="20"/>
                <w:szCs w:val="20"/>
              </w:rPr>
            </w:pPr>
            <w:r>
              <w:rPr>
                <w:rFonts w:hint="eastAsia" w:ascii="宋体" w:hAnsi="宋体" w:eastAsia="宋体"/>
                <w:color w:val="000000"/>
                <w:sz w:val="20"/>
                <w:szCs w:val="20"/>
              </w:rPr>
              <w:t>单位：元</w:t>
            </w:r>
          </w:p>
        </w:tc>
      </w:tr>
      <w:tr>
        <w:tblPrEx>
          <w:tblCellMar>
            <w:top w:w="0" w:type="dxa"/>
            <w:left w:w="108" w:type="dxa"/>
            <w:bottom w:w="0" w:type="dxa"/>
            <w:right w:w="108" w:type="dxa"/>
          </w:tblCellMar>
        </w:tblPrEx>
        <w:trPr>
          <w:trHeight w:val="308" w:hRule="atLeast"/>
        </w:trPr>
        <w:tc>
          <w:tcPr>
            <w:tcW w:w="541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支出功能分类科目</w:t>
            </w:r>
          </w:p>
        </w:tc>
        <w:tc>
          <w:tcPr>
            <w:tcW w:w="1800" w:type="dxa"/>
            <w:vMerge w:val="restart"/>
            <w:tcBorders>
              <w:top w:val="single" w:color="000000" w:sz="4" w:space="0"/>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合计</w:t>
            </w:r>
          </w:p>
        </w:tc>
        <w:tc>
          <w:tcPr>
            <w:tcW w:w="5108" w:type="dxa"/>
            <w:gridSpan w:val="3"/>
            <w:tcBorders>
              <w:top w:val="single" w:color="000000" w:sz="4" w:space="0"/>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基本支出</w:t>
            </w:r>
          </w:p>
        </w:tc>
        <w:tc>
          <w:tcPr>
            <w:tcW w:w="1673" w:type="dxa"/>
            <w:vMerge w:val="restart"/>
            <w:tcBorders>
              <w:top w:val="single" w:color="000000" w:sz="4" w:space="0"/>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项目支出</w:t>
            </w:r>
          </w:p>
        </w:tc>
      </w:tr>
      <w:tr>
        <w:tblPrEx>
          <w:tblCellMar>
            <w:top w:w="0" w:type="dxa"/>
            <w:left w:w="108" w:type="dxa"/>
            <w:bottom w:w="0" w:type="dxa"/>
            <w:right w:w="108" w:type="dxa"/>
          </w:tblCellMar>
        </w:tblPrEx>
        <w:trPr>
          <w:trHeight w:val="308" w:hRule="atLeast"/>
        </w:trPr>
        <w:tc>
          <w:tcPr>
            <w:tcW w:w="1319" w:type="dxa"/>
            <w:tcBorders>
              <w:top w:val="nil"/>
              <w:left w:val="single" w:color="000000" w:sz="4" w:space="0"/>
              <w:bottom w:val="nil"/>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科目编码</w:t>
            </w:r>
          </w:p>
        </w:tc>
        <w:tc>
          <w:tcPr>
            <w:tcW w:w="4092" w:type="dxa"/>
            <w:tcBorders>
              <w:top w:val="nil"/>
              <w:left w:val="nil"/>
              <w:bottom w:val="nil"/>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科目名称</w:t>
            </w:r>
          </w:p>
        </w:tc>
        <w:tc>
          <w:tcPr>
            <w:tcW w:w="1800" w:type="dxa"/>
            <w:vMerge w:val="continue"/>
            <w:tcBorders>
              <w:top w:val="single" w:color="000000" w:sz="4" w:space="0"/>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1662" w:type="dxa"/>
            <w:tcBorders>
              <w:top w:val="nil"/>
              <w:left w:val="nil"/>
              <w:bottom w:val="nil"/>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小计</w:t>
            </w:r>
          </w:p>
        </w:tc>
        <w:tc>
          <w:tcPr>
            <w:tcW w:w="1738" w:type="dxa"/>
            <w:tcBorders>
              <w:top w:val="nil"/>
              <w:left w:val="nil"/>
              <w:bottom w:val="nil"/>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人员经费</w:t>
            </w:r>
          </w:p>
        </w:tc>
        <w:tc>
          <w:tcPr>
            <w:tcW w:w="1708" w:type="dxa"/>
            <w:tcBorders>
              <w:top w:val="nil"/>
              <w:left w:val="nil"/>
              <w:bottom w:val="nil"/>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公用经费</w:t>
            </w:r>
          </w:p>
        </w:tc>
        <w:tc>
          <w:tcPr>
            <w:tcW w:w="1673" w:type="dxa"/>
            <w:vMerge w:val="continue"/>
            <w:tcBorders>
              <w:top w:val="single" w:color="000000" w:sz="4" w:space="0"/>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680" w:hRule="atLeast"/>
        </w:trPr>
        <w:tc>
          <w:tcPr>
            <w:tcW w:w="541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合计</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1,159,246.94</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1,072,120.73</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1,045,880.46</w:t>
            </w:r>
          </w:p>
        </w:tc>
        <w:tc>
          <w:tcPr>
            <w:tcW w:w="1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26,240.27</w:t>
            </w:r>
          </w:p>
        </w:tc>
        <w:tc>
          <w:tcPr>
            <w:tcW w:w="16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87,126.21</w:t>
            </w:r>
          </w:p>
        </w:tc>
      </w:tr>
      <w:tr>
        <w:tblPrEx>
          <w:tblCellMar>
            <w:top w:w="0" w:type="dxa"/>
            <w:left w:w="108" w:type="dxa"/>
            <w:bottom w:w="0" w:type="dxa"/>
            <w:right w:w="108" w:type="dxa"/>
          </w:tblCellMar>
        </w:tblPrEx>
        <w:trPr>
          <w:trHeight w:val="620" w:hRule="atLeast"/>
        </w:trPr>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201</w:t>
            </w:r>
          </w:p>
        </w:tc>
        <w:tc>
          <w:tcPr>
            <w:tcW w:w="40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一般公共服务支出</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994,136.52</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907,010.31</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880,770.04</w:t>
            </w:r>
          </w:p>
        </w:tc>
        <w:tc>
          <w:tcPr>
            <w:tcW w:w="1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26,240.27</w:t>
            </w:r>
          </w:p>
        </w:tc>
        <w:tc>
          <w:tcPr>
            <w:tcW w:w="16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87,126.21</w:t>
            </w:r>
          </w:p>
        </w:tc>
      </w:tr>
      <w:tr>
        <w:tblPrEx>
          <w:tblCellMar>
            <w:top w:w="0" w:type="dxa"/>
            <w:left w:w="108" w:type="dxa"/>
            <w:bottom w:w="0" w:type="dxa"/>
            <w:right w:w="108" w:type="dxa"/>
          </w:tblCellMar>
        </w:tblPrEx>
        <w:trPr>
          <w:trHeight w:val="620" w:hRule="atLeast"/>
        </w:trPr>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20111</w:t>
            </w:r>
          </w:p>
        </w:tc>
        <w:tc>
          <w:tcPr>
            <w:tcW w:w="40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纪检监察事务</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994,136.52</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907,010.31</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880,770.04</w:t>
            </w:r>
          </w:p>
        </w:tc>
        <w:tc>
          <w:tcPr>
            <w:tcW w:w="1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26,240.27</w:t>
            </w:r>
          </w:p>
        </w:tc>
        <w:tc>
          <w:tcPr>
            <w:tcW w:w="16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87,126.21</w:t>
            </w:r>
          </w:p>
        </w:tc>
      </w:tr>
      <w:tr>
        <w:tblPrEx>
          <w:tblCellMar>
            <w:top w:w="0" w:type="dxa"/>
            <w:left w:w="108" w:type="dxa"/>
            <w:bottom w:w="0" w:type="dxa"/>
            <w:right w:w="108" w:type="dxa"/>
          </w:tblCellMar>
        </w:tblPrEx>
        <w:trPr>
          <w:trHeight w:val="620" w:hRule="atLeast"/>
        </w:trPr>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2011150</w:t>
            </w:r>
          </w:p>
        </w:tc>
        <w:tc>
          <w:tcPr>
            <w:tcW w:w="40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事业运行</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907,010.31</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907,010.31</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880,770.04</w:t>
            </w:r>
          </w:p>
        </w:tc>
        <w:tc>
          <w:tcPr>
            <w:tcW w:w="1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26,240.27</w:t>
            </w:r>
          </w:p>
        </w:tc>
        <w:tc>
          <w:tcPr>
            <w:tcW w:w="16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620" w:hRule="atLeast"/>
        </w:trPr>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2011199</w:t>
            </w:r>
          </w:p>
        </w:tc>
        <w:tc>
          <w:tcPr>
            <w:tcW w:w="40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其他纪检监察事务支出</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87,126.21</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6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87,126.21</w:t>
            </w:r>
          </w:p>
        </w:tc>
      </w:tr>
      <w:tr>
        <w:tblPrEx>
          <w:tblCellMar>
            <w:top w:w="0" w:type="dxa"/>
            <w:left w:w="108" w:type="dxa"/>
            <w:bottom w:w="0" w:type="dxa"/>
            <w:right w:w="108" w:type="dxa"/>
          </w:tblCellMar>
        </w:tblPrEx>
        <w:trPr>
          <w:trHeight w:val="620" w:hRule="atLeast"/>
        </w:trPr>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208</w:t>
            </w:r>
          </w:p>
        </w:tc>
        <w:tc>
          <w:tcPr>
            <w:tcW w:w="40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社会保障和就业支出</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116,548.32</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116,548.32</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116,548.32</w:t>
            </w:r>
          </w:p>
        </w:tc>
        <w:tc>
          <w:tcPr>
            <w:tcW w:w="1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6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620" w:hRule="atLeast"/>
        </w:trPr>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20805</w:t>
            </w:r>
          </w:p>
        </w:tc>
        <w:tc>
          <w:tcPr>
            <w:tcW w:w="40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行政事业单位养老支出</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116,548.32</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116,548.32</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116,548.32</w:t>
            </w:r>
          </w:p>
        </w:tc>
        <w:tc>
          <w:tcPr>
            <w:tcW w:w="1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6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620" w:hRule="atLeast"/>
        </w:trPr>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2080505</w:t>
            </w:r>
          </w:p>
        </w:tc>
        <w:tc>
          <w:tcPr>
            <w:tcW w:w="40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机关事业单位基本养老保险缴费支出</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77,698.88</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77,698.88</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77,698.88</w:t>
            </w:r>
          </w:p>
        </w:tc>
        <w:tc>
          <w:tcPr>
            <w:tcW w:w="1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6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620" w:hRule="atLeast"/>
        </w:trPr>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2080506</w:t>
            </w:r>
          </w:p>
        </w:tc>
        <w:tc>
          <w:tcPr>
            <w:tcW w:w="40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机关事业单位职业年金缴费支出</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38,849.44</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38,849.44</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38,849.44</w:t>
            </w:r>
          </w:p>
        </w:tc>
        <w:tc>
          <w:tcPr>
            <w:tcW w:w="1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6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620" w:hRule="atLeast"/>
        </w:trPr>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210</w:t>
            </w:r>
          </w:p>
        </w:tc>
        <w:tc>
          <w:tcPr>
            <w:tcW w:w="40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卫生健康支出</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48,562.10</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48,562.10</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48,562.10</w:t>
            </w:r>
          </w:p>
        </w:tc>
        <w:tc>
          <w:tcPr>
            <w:tcW w:w="1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6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620" w:hRule="atLeast"/>
        </w:trPr>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21011</w:t>
            </w:r>
          </w:p>
        </w:tc>
        <w:tc>
          <w:tcPr>
            <w:tcW w:w="40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行政事业单位医疗</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48,562.10</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48,562.10</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48,562.10</w:t>
            </w:r>
          </w:p>
        </w:tc>
        <w:tc>
          <w:tcPr>
            <w:tcW w:w="1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6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620" w:hRule="atLeast"/>
        </w:trPr>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2101102</w:t>
            </w:r>
          </w:p>
        </w:tc>
        <w:tc>
          <w:tcPr>
            <w:tcW w:w="40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事业单位医疗</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48,562.10</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48,562.10</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48,562.10</w:t>
            </w:r>
          </w:p>
        </w:tc>
        <w:tc>
          <w:tcPr>
            <w:tcW w:w="1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6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13992" w:type="dxa"/>
            <w:gridSpan w:val="7"/>
            <w:tcBorders>
              <w:top w:val="nil"/>
              <w:left w:val="nil"/>
              <w:bottom w:val="nil"/>
              <w:right w:val="nil"/>
            </w:tcBorders>
            <w:shd w:val="clear" w:color="auto" w:fill="auto"/>
            <w:noWrap/>
            <w:vAlign w:val="center"/>
          </w:tcPr>
          <w:p>
            <w:pPr>
              <w:widowControl/>
              <w:textAlignment w:val="center"/>
              <w:rPr>
                <w:rFonts w:ascii="宋体" w:hAnsi="宋体" w:eastAsia="宋体"/>
                <w:color w:val="000000"/>
                <w:sz w:val="22"/>
                <w:szCs w:val="22"/>
              </w:rPr>
            </w:pPr>
            <w:r>
              <w:rPr>
                <w:rFonts w:hint="eastAsia" w:ascii="宋体" w:hAnsi="宋体" w:eastAsia="宋体"/>
                <w:color w:val="000000"/>
                <w:sz w:val="22"/>
                <w:szCs w:val="22"/>
              </w:rPr>
              <w:t>注：本表反映本年度一般公共预算财政拨款支出情况。</w:t>
            </w:r>
          </w:p>
        </w:tc>
      </w:tr>
    </w:tbl>
    <w:p>
      <w:pPr>
        <w:rPr>
          <w:rFonts w:asciiTheme="minorEastAsia" w:hAnsiTheme="minorEastAsia" w:cstheme="minorEastAsia"/>
          <w:sz w:val="22"/>
          <w:szCs w:val="22"/>
        </w:rPr>
      </w:pPr>
      <w:r>
        <w:rPr>
          <w:rFonts w:hint="eastAsia" w:asciiTheme="minorEastAsia" w:hAnsiTheme="minorEastAsia" w:cstheme="minorEastAsia"/>
          <w:sz w:val="22"/>
          <w:szCs w:val="22"/>
        </w:rPr>
        <w:br w:type="page"/>
      </w:r>
    </w:p>
    <w:p>
      <w:pPr>
        <w:pStyle w:val="28"/>
        <w:widowControl/>
        <w:jc w:val="both"/>
        <w:rPr>
          <w:rFonts w:ascii="仿宋" w:hAnsi="仿宋" w:eastAsia="仿宋" w:cs="仿宋"/>
          <w:b/>
          <w:bCs/>
        </w:rPr>
      </w:pPr>
      <w:r>
        <w:rPr>
          <w:rFonts w:hint="eastAsia" w:ascii="仿宋" w:hAnsi="仿宋" w:eastAsia="仿宋" w:cs="仿宋"/>
          <w:b/>
          <w:bCs/>
        </w:rPr>
        <w:t xml:space="preserve">七、一般公共预算财政拨款基本支出决算明细表 </w:t>
      </w:r>
    </w:p>
    <w:tbl>
      <w:tblPr>
        <w:tblStyle w:val="11"/>
        <w:tblW w:w="13991" w:type="dxa"/>
        <w:tblInd w:w="0" w:type="dxa"/>
        <w:tblLayout w:type="fixed"/>
        <w:tblCellMar>
          <w:top w:w="0" w:type="dxa"/>
          <w:left w:w="108" w:type="dxa"/>
          <w:bottom w:w="0" w:type="dxa"/>
          <w:right w:w="108" w:type="dxa"/>
        </w:tblCellMar>
      </w:tblPr>
      <w:tblGrid>
        <w:gridCol w:w="928"/>
        <w:gridCol w:w="1869"/>
        <w:gridCol w:w="1884"/>
        <w:gridCol w:w="877"/>
        <w:gridCol w:w="1800"/>
        <w:gridCol w:w="1831"/>
        <w:gridCol w:w="1092"/>
        <w:gridCol w:w="1984"/>
        <w:gridCol w:w="1726"/>
      </w:tblGrid>
      <w:tr>
        <w:tblPrEx>
          <w:tblCellMar>
            <w:top w:w="0" w:type="dxa"/>
            <w:left w:w="108" w:type="dxa"/>
            <w:bottom w:w="0" w:type="dxa"/>
            <w:right w:w="108" w:type="dxa"/>
          </w:tblCellMar>
        </w:tblPrEx>
        <w:trPr>
          <w:trHeight w:val="320" w:hRule="atLeast"/>
        </w:trPr>
        <w:tc>
          <w:tcPr>
            <w:tcW w:w="12265" w:type="dxa"/>
            <w:gridSpan w:val="8"/>
            <w:tcBorders>
              <w:top w:val="nil"/>
              <w:left w:val="nil"/>
              <w:bottom w:val="nil"/>
              <w:right w:val="nil"/>
            </w:tcBorders>
            <w:shd w:val="clear" w:color="auto" w:fill="auto"/>
            <w:noWrap/>
            <w:vAlign w:val="bottom"/>
          </w:tcPr>
          <w:p>
            <w:pPr>
              <w:widowControl/>
              <w:textAlignment w:val="bottom"/>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部门（单位）：天津市南开区纪委监委综合服务中心 </w:t>
            </w:r>
          </w:p>
        </w:tc>
        <w:tc>
          <w:tcPr>
            <w:tcW w:w="1726" w:type="dxa"/>
            <w:tcBorders>
              <w:top w:val="nil"/>
              <w:left w:val="nil"/>
              <w:bottom w:val="nil"/>
              <w:right w:val="nil"/>
            </w:tcBorders>
            <w:shd w:val="clear" w:color="auto" w:fill="auto"/>
            <w:noWrap/>
            <w:vAlign w:val="bottom"/>
          </w:tcPr>
          <w:p>
            <w:pPr>
              <w:widowControl/>
              <w:textAlignment w:val="bottom"/>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单位：元</w:t>
            </w:r>
          </w:p>
        </w:tc>
      </w:tr>
      <w:tr>
        <w:tblPrEx>
          <w:tblCellMar>
            <w:top w:w="0" w:type="dxa"/>
            <w:left w:w="108" w:type="dxa"/>
            <w:bottom w:w="0" w:type="dxa"/>
            <w:right w:w="108" w:type="dxa"/>
          </w:tblCellMar>
        </w:tblPrEx>
        <w:trPr>
          <w:trHeight w:val="308" w:hRule="atLeast"/>
        </w:trPr>
        <w:tc>
          <w:tcPr>
            <w:tcW w:w="468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人员经费</w:t>
            </w:r>
          </w:p>
        </w:tc>
        <w:tc>
          <w:tcPr>
            <w:tcW w:w="9310" w:type="dxa"/>
            <w:gridSpan w:val="6"/>
            <w:tcBorders>
              <w:top w:val="single" w:color="000000" w:sz="4" w:space="0"/>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公用经费</w:t>
            </w:r>
          </w:p>
        </w:tc>
      </w:tr>
      <w:tr>
        <w:tblPrEx>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科目编码</w:t>
            </w:r>
          </w:p>
        </w:tc>
        <w:tc>
          <w:tcPr>
            <w:tcW w:w="1869"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科目名称</w:t>
            </w:r>
          </w:p>
        </w:tc>
        <w:tc>
          <w:tcPr>
            <w:tcW w:w="1884"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金额</w:t>
            </w:r>
          </w:p>
        </w:tc>
        <w:tc>
          <w:tcPr>
            <w:tcW w:w="877"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科目编码</w:t>
            </w:r>
          </w:p>
        </w:tc>
        <w:tc>
          <w:tcPr>
            <w:tcW w:w="180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科目名称</w:t>
            </w:r>
          </w:p>
        </w:tc>
        <w:tc>
          <w:tcPr>
            <w:tcW w:w="1831"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金额</w:t>
            </w:r>
          </w:p>
        </w:tc>
        <w:tc>
          <w:tcPr>
            <w:tcW w:w="1092"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科目编码</w:t>
            </w:r>
          </w:p>
        </w:tc>
        <w:tc>
          <w:tcPr>
            <w:tcW w:w="1984"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科目名称</w:t>
            </w:r>
          </w:p>
        </w:tc>
        <w:tc>
          <w:tcPr>
            <w:tcW w:w="1726"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金额</w:t>
            </w:r>
          </w:p>
        </w:tc>
      </w:tr>
      <w:tr>
        <w:tblPrEx>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301</w:t>
            </w:r>
          </w:p>
        </w:tc>
        <w:tc>
          <w:tcPr>
            <w:tcW w:w="1869"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工资福利支出</w:t>
            </w:r>
          </w:p>
        </w:tc>
        <w:tc>
          <w:tcPr>
            <w:tcW w:w="188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1,045,880.46</w:t>
            </w:r>
          </w:p>
        </w:tc>
        <w:tc>
          <w:tcPr>
            <w:tcW w:w="87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302</w:t>
            </w:r>
          </w:p>
        </w:tc>
        <w:tc>
          <w:tcPr>
            <w:tcW w:w="180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商品和服务支出</w:t>
            </w:r>
          </w:p>
        </w:tc>
        <w:tc>
          <w:tcPr>
            <w:tcW w:w="183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26,240.27</w:t>
            </w:r>
          </w:p>
        </w:tc>
        <w:tc>
          <w:tcPr>
            <w:tcW w:w="1092"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30703</w:t>
            </w:r>
          </w:p>
        </w:tc>
        <w:tc>
          <w:tcPr>
            <w:tcW w:w="1984"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国内债务发行费用</w:t>
            </w:r>
          </w:p>
        </w:tc>
        <w:tc>
          <w:tcPr>
            <w:tcW w:w="1726"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30101</w:t>
            </w:r>
          </w:p>
        </w:tc>
        <w:tc>
          <w:tcPr>
            <w:tcW w:w="1869"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基本工资</w:t>
            </w:r>
          </w:p>
        </w:tc>
        <w:tc>
          <w:tcPr>
            <w:tcW w:w="188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199,911.00</w:t>
            </w:r>
          </w:p>
        </w:tc>
        <w:tc>
          <w:tcPr>
            <w:tcW w:w="87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30201</w:t>
            </w:r>
          </w:p>
        </w:tc>
        <w:tc>
          <w:tcPr>
            <w:tcW w:w="180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办公费</w:t>
            </w:r>
          </w:p>
        </w:tc>
        <w:tc>
          <w:tcPr>
            <w:tcW w:w="183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15,190.83</w:t>
            </w:r>
          </w:p>
        </w:tc>
        <w:tc>
          <w:tcPr>
            <w:tcW w:w="1092"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30704</w:t>
            </w:r>
          </w:p>
        </w:tc>
        <w:tc>
          <w:tcPr>
            <w:tcW w:w="1984"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国外债务发行费用</w:t>
            </w:r>
          </w:p>
        </w:tc>
        <w:tc>
          <w:tcPr>
            <w:tcW w:w="1726"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30102</w:t>
            </w:r>
          </w:p>
        </w:tc>
        <w:tc>
          <w:tcPr>
            <w:tcW w:w="1869"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津贴补贴</w:t>
            </w:r>
          </w:p>
        </w:tc>
        <w:tc>
          <w:tcPr>
            <w:tcW w:w="188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126,740.40</w:t>
            </w:r>
          </w:p>
        </w:tc>
        <w:tc>
          <w:tcPr>
            <w:tcW w:w="87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30202</w:t>
            </w:r>
          </w:p>
        </w:tc>
        <w:tc>
          <w:tcPr>
            <w:tcW w:w="180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印刷费</w:t>
            </w:r>
          </w:p>
        </w:tc>
        <w:tc>
          <w:tcPr>
            <w:tcW w:w="183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092"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310</w:t>
            </w:r>
          </w:p>
        </w:tc>
        <w:tc>
          <w:tcPr>
            <w:tcW w:w="1984"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资本性支出</w:t>
            </w:r>
          </w:p>
        </w:tc>
        <w:tc>
          <w:tcPr>
            <w:tcW w:w="1726"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30103</w:t>
            </w:r>
          </w:p>
        </w:tc>
        <w:tc>
          <w:tcPr>
            <w:tcW w:w="1869"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奖金</w:t>
            </w:r>
          </w:p>
        </w:tc>
        <w:tc>
          <w:tcPr>
            <w:tcW w:w="188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87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30203</w:t>
            </w:r>
          </w:p>
        </w:tc>
        <w:tc>
          <w:tcPr>
            <w:tcW w:w="180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咨询费</w:t>
            </w:r>
          </w:p>
        </w:tc>
        <w:tc>
          <w:tcPr>
            <w:tcW w:w="183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092"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31001</w:t>
            </w:r>
          </w:p>
        </w:tc>
        <w:tc>
          <w:tcPr>
            <w:tcW w:w="1984"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房屋建筑物购建</w:t>
            </w:r>
          </w:p>
        </w:tc>
        <w:tc>
          <w:tcPr>
            <w:tcW w:w="1726"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30106</w:t>
            </w:r>
          </w:p>
        </w:tc>
        <w:tc>
          <w:tcPr>
            <w:tcW w:w="1869"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伙食补助费</w:t>
            </w:r>
          </w:p>
        </w:tc>
        <w:tc>
          <w:tcPr>
            <w:tcW w:w="188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87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30204</w:t>
            </w:r>
          </w:p>
        </w:tc>
        <w:tc>
          <w:tcPr>
            <w:tcW w:w="180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手续费</w:t>
            </w:r>
          </w:p>
        </w:tc>
        <w:tc>
          <w:tcPr>
            <w:tcW w:w="183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100.00</w:t>
            </w:r>
          </w:p>
        </w:tc>
        <w:tc>
          <w:tcPr>
            <w:tcW w:w="1092"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31002</w:t>
            </w:r>
          </w:p>
        </w:tc>
        <w:tc>
          <w:tcPr>
            <w:tcW w:w="1984"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办公设备购置</w:t>
            </w:r>
          </w:p>
        </w:tc>
        <w:tc>
          <w:tcPr>
            <w:tcW w:w="1726"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30107</w:t>
            </w:r>
          </w:p>
        </w:tc>
        <w:tc>
          <w:tcPr>
            <w:tcW w:w="1869"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绩效工资</w:t>
            </w:r>
          </w:p>
        </w:tc>
        <w:tc>
          <w:tcPr>
            <w:tcW w:w="188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277,077.00</w:t>
            </w:r>
          </w:p>
        </w:tc>
        <w:tc>
          <w:tcPr>
            <w:tcW w:w="87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30205</w:t>
            </w:r>
          </w:p>
        </w:tc>
        <w:tc>
          <w:tcPr>
            <w:tcW w:w="180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水费</w:t>
            </w:r>
          </w:p>
        </w:tc>
        <w:tc>
          <w:tcPr>
            <w:tcW w:w="183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092"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31003</w:t>
            </w:r>
          </w:p>
        </w:tc>
        <w:tc>
          <w:tcPr>
            <w:tcW w:w="1984"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专用设备购置</w:t>
            </w:r>
          </w:p>
        </w:tc>
        <w:tc>
          <w:tcPr>
            <w:tcW w:w="1726"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30108</w:t>
            </w:r>
          </w:p>
        </w:tc>
        <w:tc>
          <w:tcPr>
            <w:tcW w:w="1869"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机关事业单位基本养老保险缴费</w:t>
            </w:r>
          </w:p>
        </w:tc>
        <w:tc>
          <w:tcPr>
            <w:tcW w:w="188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77,698.88</w:t>
            </w:r>
          </w:p>
        </w:tc>
        <w:tc>
          <w:tcPr>
            <w:tcW w:w="87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30206</w:t>
            </w:r>
          </w:p>
        </w:tc>
        <w:tc>
          <w:tcPr>
            <w:tcW w:w="180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电费</w:t>
            </w:r>
          </w:p>
        </w:tc>
        <w:tc>
          <w:tcPr>
            <w:tcW w:w="183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092"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31005</w:t>
            </w:r>
          </w:p>
        </w:tc>
        <w:tc>
          <w:tcPr>
            <w:tcW w:w="1984"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基础设施建设</w:t>
            </w:r>
          </w:p>
        </w:tc>
        <w:tc>
          <w:tcPr>
            <w:tcW w:w="1726"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30109</w:t>
            </w:r>
          </w:p>
        </w:tc>
        <w:tc>
          <w:tcPr>
            <w:tcW w:w="1869"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职业年金缴费</w:t>
            </w:r>
          </w:p>
        </w:tc>
        <w:tc>
          <w:tcPr>
            <w:tcW w:w="188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38,849.44</w:t>
            </w:r>
          </w:p>
        </w:tc>
        <w:tc>
          <w:tcPr>
            <w:tcW w:w="87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30207</w:t>
            </w:r>
          </w:p>
        </w:tc>
        <w:tc>
          <w:tcPr>
            <w:tcW w:w="180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邮电费</w:t>
            </w:r>
          </w:p>
        </w:tc>
        <w:tc>
          <w:tcPr>
            <w:tcW w:w="183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092"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31006</w:t>
            </w:r>
          </w:p>
        </w:tc>
        <w:tc>
          <w:tcPr>
            <w:tcW w:w="1984"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大型修缮</w:t>
            </w:r>
          </w:p>
        </w:tc>
        <w:tc>
          <w:tcPr>
            <w:tcW w:w="1726"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30110</w:t>
            </w:r>
          </w:p>
        </w:tc>
        <w:tc>
          <w:tcPr>
            <w:tcW w:w="1869"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职工基本医疗保险缴费</w:t>
            </w:r>
          </w:p>
        </w:tc>
        <w:tc>
          <w:tcPr>
            <w:tcW w:w="188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46,378.89</w:t>
            </w:r>
          </w:p>
        </w:tc>
        <w:tc>
          <w:tcPr>
            <w:tcW w:w="87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30208</w:t>
            </w:r>
          </w:p>
        </w:tc>
        <w:tc>
          <w:tcPr>
            <w:tcW w:w="180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取暖费</w:t>
            </w:r>
          </w:p>
        </w:tc>
        <w:tc>
          <w:tcPr>
            <w:tcW w:w="183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092"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31007</w:t>
            </w:r>
          </w:p>
        </w:tc>
        <w:tc>
          <w:tcPr>
            <w:tcW w:w="1984"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信息网络及软件购置更新</w:t>
            </w:r>
          </w:p>
        </w:tc>
        <w:tc>
          <w:tcPr>
            <w:tcW w:w="1726"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30111</w:t>
            </w:r>
          </w:p>
        </w:tc>
        <w:tc>
          <w:tcPr>
            <w:tcW w:w="1869"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公务员医疗补助缴费</w:t>
            </w:r>
          </w:p>
        </w:tc>
        <w:tc>
          <w:tcPr>
            <w:tcW w:w="188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87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30209</w:t>
            </w:r>
          </w:p>
        </w:tc>
        <w:tc>
          <w:tcPr>
            <w:tcW w:w="180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物业管理费</w:t>
            </w:r>
          </w:p>
        </w:tc>
        <w:tc>
          <w:tcPr>
            <w:tcW w:w="183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092"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31008</w:t>
            </w:r>
          </w:p>
        </w:tc>
        <w:tc>
          <w:tcPr>
            <w:tcW w:w="1984"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物资储备</w:t>
            </w:r>
          </w:p>
        </w:tc>
        <w:tc>
          <w:tcPr>
            <w:tcW w:w="1726"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30112</w:t>
            </w:r>
          </w:p>
        </w:tc>
        <w:tc>
          <w:tcPr>
            <w:tcW w:w="1869"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其他社会保障缴费</w:t>
            </w:r>
          </w:p>
        </w:tc>
        <w:tc>
          <w:tcPr>
            <w:tcW w:w="188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5,582.75</w:t>
            </w:r>
          </w:p>
        </w:tc>
        <w:tc>
          <w:tcPr>
            <w:tcW w:w="87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30211</w:t>
            </w:r>
          </w:p>
        </w:tc>
        <w:tc>
          <w:tcPr>
            <w:tcW w:w="180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差旅费</w:t>
            </w:r>
          </w:p>
        </w:tc>
        <w:tc>
          <w:tcPr>
            <w:tcW w:w="183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092"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31009</w:t>
            </w:r>
          </w:p>
        </w:tc>
        <w:tc>
          <w:tcPr>
            <w:tcW w:w="1984"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土地补偿</w:t>
            </w:r>
          </w:p>
        </w:tc>
        <w:tc>
          <w:tcPr>
            <w:tcW w:w="1726"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30113</w:t>
            </w:r>
          </w:p>
        </w:tc>
        <w:tc>
          <w:tcPr>
            <w:tcW w:w="1869"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住房公积金</w:t>
            </w:r>
          </w:p>
        </w:tc>
        <w:tc>
          <w:tcPr>
            <w:tcW w:w="188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263,944.00</w:t>
            </w:r>
          </w:p>
        </w:tc>
        <w:tc>
          <w:tcPr>
            <w:tcW w:w="87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30212</w:t>
            </w:r>
          </w:p>
        </w:tc>
        <w:tc>
          <w:tcPr>
            <w:tcW w:w="180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因公出国（境）费用</w:t>
            </w:r>
          </w:p>
        </w:tc>
        <w:tc>
          <w:tcPr>
            <w:tcW w:w="183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092"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31010</w:t>
            </w:r>
          </w:p>
        </w:tc>
        <w:tc>
          <w:tcPr>
            <w:tcW w:w="1984"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安置补助</w:t>
            </w:r>
          </w:p>
        </w:tc>
        <w:tc>
          <w:tcPr>
            <w:tcW w:w="1726"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30114</w:t>
            </w:r>
          </w:p>
        </w:tc>
        <w:tc>
          <w:tcPr>
            <w:tcW w:w="1869"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医疗费</w:t>
            </w:r>
          </w:p>
        </w:tc>
        <w:tc>
          <w:tcPr>
            <w:tcW w:w="188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87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30213</w:t>
            </w:r>
          </w:p>
        </w:tc>
        <w:tc>
          <w:tcPr>
            <w:tcW w:w="180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维修(护)费</w:t>
            </w:r>
          </w:p>
        </w:tc>
        <w:tc>
          <w:tcPr>
            <w:tcW w:w="183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092"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31011</w:t>
            </w:r>
          </w:p>
        </w:tc>
        <w:tc>
          <w:tcPr>
            <w:tcW w:w="1984"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地上附着物和青苗补偿</w:t>
            </w:r>
          </w:p>
        </w:tc>
        <w:tc>
          <w:tcPr>
            <w:tcW w:w="1726"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30199</w:t>
            </w:r>
          </w:p>
        </w:tc>
        <w:tc>
          <w:tcPr>
            <w:tcW w:w="1869"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其他工资福利支出</w:t>
            </w:r>
          </w:p>
        </w:tc>
        <w:tc>
          <w:tcPr>
            <w:tcW w:w="188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9,698.10</w:t>
            </w:r>
          </w:p>
        </w:tc>
        <w:tc>
          <w:tcPr>
            <w:tcW w:w="87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30214</w:t>
            </w:r>
          </w:p>
        </w:tc>
        <w:tc>
          <w:tcPr>
            <w:tcW w:w="180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租赁费</w:t>
            </w:r>
          </w:p>
        </w:tc>
        <w:tc>
          <w:tcPr>
            <w:tcW w:w="183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092"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31012</w:t>
            </w:r>
          </w:p>
        </w:tc>
        <w:tc>
          <w:tcPr>
            <w:tcW w:w="1984"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拆迁补偿</w:t>
            </w:r>
          </w:p>
        </w:tc>
        <w:tc>
          <w:tcPr>
            <w:tcW w:w="1726"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303</w:t>
            </w:r>
          </w:p>
        </w:tc>
        <w:tc>
          <w:tcPr>
            <w:tcW w:w="1869"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对个人和家庭的补助</w:t>
            </w:r>
          </w:p>
        </w:tc>
        <w:tc>
          <w:tcPr>
            <w:tcW w:w="188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87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30215</w:t>
            </w:r>
          </w:p>
        </w:tc>
        <w:tc>
          <w:tcPr>
            <w:tcW w:w="180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会议费</w:t>
            </w:r>
          </w:p>
        </w:tc>
        <w:tc>
          <w:tcPr>
            <w:tcW w:w="183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092"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31013</w:t>
            </w:r>
          </w:p>
        </w:tc>
        <w:tc>
          <w:tcPr>
            <w:tcW w:w="1984"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公务用车购置</w:t>
            </w:r>
          </w:p>
        </w:tc>
        <w:tc>
          <w:tcPr>
            <w:tcW w:w="1726"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30301</w:t>
            </w:r>
          </w:p>
        </w:tc>
        <w:tc>
          <w:tcPr>
            <w:tcW w:w="1869"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离休费</w:t>
            </w:r>
          </w:p>
        </w:tc>
        <w:tc>
          <w:tcPr>
            <w:tcW w:w="188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87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30216</w:t>
            </w:r>
          </w:p>
        </w:tc>
        <w:tc>
          <w:tcPr>
            <w:tcW w:w="180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培训费</w:t>
            </w:r>
          </w:p>
        </w:tc>
        <w:tc>
          <w:tcPr>
            <w:tcW w:w="183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092"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31019</w:t>
            </w:r>
          </w:p>
        </w:tc>
        <w:tc>
          <w:tcPr>
            <w:tcW w:w="1984"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其他交通工具购置</w:t>
            </w:r>
          </w:p>
        </w:tc>
        <w:tc>
          <w:tcPr>
            <w:tcW w:w="1726"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30302</w:t>
            </w:r>
          </w:p>
        </w:tc>
        <w:tc>
          <w:tcPr>
            <w:tcW w:w="1869"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退休费</w:t>
            </w:r>
          </w:p>
        </w:tc>
        <w:tc>
          <w:tcPr>
            <w:tcW w:w="188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87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30217</w:t>
            </w:r>
          </w:p>
        </w:tc>
        <w:tc>
          <w:tcPr>
            <w:tcW w:w="180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公务接待费</w:t>
            </w:r>
          </w:p>
        </w:tc>
        <w:tc>
          <w:tcPr>
            <w:tcW w:w="183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092"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31021</w:t>
            </w:r>
          </w:p>
        </w:tc>
        <w:tc>
          <w:tcPr>
            <w:tcW w:w="1984"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文物和陈列品购置</w:t>
            </w:r>
          </w:p>
        </w:tc>
        <w:tc>
          <w:tcPr>
            <w:tcW w:w="1726"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30303</w:t>
            </w:r>
          </w:p>
        </w:tc>
        <w:tc>
          <w:tcPr>
            <w:tcW w:w="1869"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退职（役）费</w:t>
            </w:r>
          </w:p>
        </w:tc>
        <w:tc>
          <w:tcPr>
            <w:tcW w:w="188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87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30218</w:t>
            </w:r>
          </w:p>
        </w:tc>
        <w:tc>
          <w:tcPr>
            <w:tcW w:w="180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专用材料费</w:t>
            </w:r>
          </w:p>
        </w:tc>
        <w:tc>
          <w:tcPr>
            <w:tcW w:w="183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092"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31022</w:t>
            </w:r>
          </w:p>
        </w:tc>
        <w:tc>
          <w:tcPr>
            <w:tcW w:w="1984"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无形资产购置</w:t>
            </w:r>
          </w:p>
        </w:tc>
        <w:tc>
          <w:tcPr>
            <w:tcW w:w="1726"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30304</w:t>
            </w:r>
          </w:p>
        </w:tc>
        <w:tc>
          <w:tcPr>
            <w:tcW w:w="1869"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抚恤金</w:t>
            </w:r>
          </w:p>
        </w:tc>
        <w:tc>
          <w:tcPr>
            <w:tcW w:w="188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87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30224</w:t>
            </w:r>
          </w:p>
        </w:tc>
        <w:tc>
          <w:tcPr>
            <w:tcW w:w="180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被装购置费</w:t>
            </w:r>
          </w:p>
        </w:tc>
        <w:tc>
          <w:tcPr>
            <w:tcW w:w="183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092"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31099</w:t>
            </w:r>
          </w:p>
        </w:tc>
        <w:tc>
          <w:tcPr>
            <w:tcW w:w="1984"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其他资本性支出</w:t>
            </w:r>
          </w:p>
        </w:tc>
        <w:tc>
          <w:tcPr>
            <w:tcW w:w="1726"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30305</w:t>
            </w:r>
          </w:p>
        </w:tc>
        <w:tc>
          <w:tcPr>
            <w:tcW w:w="1869"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生活补助</w:t>
            </w:r>
          </w:p>
        </w:tc>
        <w:tc>
          <w:tcPr>
            <w:tcW w:w="188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87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30225</w:t>
            </w:r>
          </w:p>
        </w:tc>
        <w:tc>
          <w:tcPr>
            <w:tcW w:w="180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专用燃料费</w:t>
            </w:r>
          </w:p>
        </w:tc>
        <w:tc>
          <w:tcPr>
            <w:tcW w:w="183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092"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312</w:t>
            </w:r>
          </w:p>
        </w:tc>
        <w:tc>
          <w:tcPr>
            <w:tcW w:w="1984"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对企业补助</w:t>
            </w:r>
          </w:p>
        </w:tc>
        <w:tc>
          <w:tcPr>
            <w:tcW w:w="1726"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30306</w:t>
            </w:r>
          </w:p>
        </w:tc>
        <w:tc>
          <w:tcPr>
            <w:tcW w:w="1869"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救济费</w:t>
            </w:r>
          </w:p>
        </w:tc>
        <w:tc>
          <w:tcPr>
            <w:tcW w:w="188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87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30226</w:t>
            </w:r>
          </w:p>
        </w:tc>
        <w:tc>
          <w:tcPr>
            <w:tcW w:w="180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劳务费</w:t>
            </w:r>
          </w:p>
        </w:tc>
        <w:tc>
          <w:tcPr>
            <w:tcW w:w="183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092"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31201</w:t>
            </w:r>
          </w:p>
        </w:tc>
        <w:tc>
          <w:tcPr>
            <w:tcW w:w="1984"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资本金注入</w:t>
            </w:r>
          </w:p>
        </w:tc>
        <w:tc>
          <w:tcPr>
            <w:tcW w:w="1726"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30307</w:t>
            </w:r>
          </w:p>
        </w:tc>
        <w:tc>
          <w:tcPr>
            <w:tcW w:w="1869"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医疗费补助</w:t>
            </w:r>
          </w:p>
        </w:tc>
        <w:tc>
          <w:tcPr>
            <w:tcW w:w="188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87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30227</w:t>
            </w:r>
          </w:p>
        </w:tc>
        <w:tc>
          <w:tcPr>
            <w:tcW w:w="180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委托业务费</w:t>
            </w:r>
          </w:p>
        </w:tc>
        <w:tc>
          <w:tcPr>
            <w:tcW w:w="183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092"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31203</w:t>
            </w:r>
          </w:p>
        </w:tc>
        <w:tc>
          <w:tcPr>
            <w:tcW w:w="1984"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政府投资基金股权投资</w:t>
            </w:r>
          </w:p>
        </w:tc>
        <w:tc>
          <w:tcPr>
            <w:tcW w:w="1726"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30308</w:t>
            </w:r>
          </w:p>
        </w:tc>
        <w:tc>
          <w:tcPr>
            <w:tcW w:w="1869"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助学金</w:t>
            </w:r>
          </w:p>
        </w:tc>
        <w:tc>
          <w:tcPr>
            <w:tcW w:w="188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87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30228</w:t>
            </w:r>
          </w:p>
        </w:tc>
        <w:tc>
          <w:tcPr>
            <w:tcW w:w="180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工会经费</w:t>
            </w:r>
          </w:p>
        </w:tc>
        <w:tc>
          <w:tcPr>
            <w:tcW w:w="183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4,699.44</w:t>
            </w:r>
          </w:p>
        </w:tc>
        <w:tc>
          <w:tcPr>
            <w:tcW w:w="1092"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31204</w:t>
            </w:r>
          </w:p>
        </w:tc>
        <w:tc>
          <w:tcPr>
            <w:tcW w:w="1984"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费用补贴</w:t>
            </w:r>
          </w:p>
        </w:tc>
        <w:tc>
          <w:tcPr>
            <w:tcW w:w="1726"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30309</w:t>
            </w:r>
          </w:p>
        </w:tc>
        <w:tc>
          <w:tcPr>
            <w:tcW w:w="1869"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奖励金</w:t>
            </w:r>
          </w:p>
        </w:tc>
        <w:tc>
          <w:tcPr>
            <w:tcW w:w="188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87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30229</w:t>
            </w:r>
          </w:p>
        </w:tc>
        <w:tc>
          <w:tcPr>
            <w:tcW w:w="180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福利费</w:t>
            </w:r>
          </w:p>
        </w:tc>
        <w:tc>
          <w:tcPr>
            <w:tcW w:w="183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6,250.00</w:t>
            </w:r>
          </w:p>
        </w:tc>
        <w:tc>
          <w:tcPr>
            <w:tcW w:w="1092"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31205</w:t>
            </w:r>
          </w:p>
        </w:tc>
        <w:tc>
          <w:tcPr>
            <w:tcW w:w="1984"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利息补贴</w:t>
            </w:r>
          </w:p>
        </w:tc>
        <w:tc>
          <w:tcPr>
            <w:tcW w:w="1726"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30310</w:t>
            </w:r>
          </w:p>
        </w:tc>
        <w:tc>
          <w:tcPr>
            <w:tcW w:w="1869"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个人农业生产补贴</w:t>
            </w:r>
          </w:p>
        </w:tc>
        <w:tc>
          <w:tcPr>
            <w:tcW w:w="188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87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30231</w:t>
            </w:r>
          </w:p>
        </w:tc>
        <w:tc>
          <w:tcPr>
            <w:tcW w:w="180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公务用车运行维护费</w:t>
            </w:r>
          </w:p>
        </w:tc>
        <w:tc>
          <w:tcPr>
            <w:tcW w:w="183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092"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31206</w:t>
            </w:r>
          </w:p>
        </w:tc>
        <w:tc>
          <w:tcPr>
            <w:tcW w:w="1984"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其他资本性补助</w:t>
            </w:r>
          </w:p>
        </w:tc>
        <w:tc>
          <w:tcPr>
            <w:tcW w:w="1726"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30311</w:t>
            </w:r>
          </w:p>
        </w:tc>
        <w:tc>
          <w:tcPr>
            <w:tcW w:w="1869"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代缴社会保险费</w:t>
            </w:r>
          </w:p>
        </w:tc>
        <w:tc>
          <w:tcPr>
            <w:tcW w:w="188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87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30239</w:t>
            </w:r>
          </w:p>
        </w:tc>
        <w:tc>
          <w:tcPr>
            <w:tcW w:w="180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其他交通费用</w:t>
            </w:r>
          </w:p>
        </w:tc>
        <w:tc>
          <w:tcPr>
            <w:tcW w:w="183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092"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31299</w:t>
            </w:r>
          </w:p>
        </w:tc>
        <w:tc>
          <w:tcPr>
            <w:tcW w:w="1984"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其他对企业补助</w:t>
            </w:r>
          </w:p>
        </w:tc>
        <w:tc>
          <w:tcPr>
            <w:tcW w:w="1726"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30399</w:t>
            </w:r>
          </w:p>
        </w:tc>
        <w:tc>
          <w:tcPr>
            <w:tcW w:w="1869"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其他对个人和家庭的补助</w:t>
            </w:r>
          </w:p>
        </w:tc>
        <w:tc>
          <w:tcPr>
            <w:tcW w:w="188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87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30240</w:t>
            </w:r>
          </w:p>
        </w:tc>
        <w:tc>
          <w:tcPr>
            <w:tcW w:w="180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税金及附加费用</w:t>
            </w:r>
          </w:p>
        </w:tc>
        <w:tc>
          <w:tcPr>
            <w:tcW w:w="183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092"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399</w:t>
            </w:r>
          </w:p>
        </w:tc>
        <w:tc>
          <w:tcPr>
            <w:tcW w:w="1984"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其他支出</w:t>
            </w:r>
          </w:p>
        </w:tc>
        <w:tc>
          <w:tcPr>
            <w:tcW w:w="1726"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1869" w:type="dxa"/>
            <w:tcBorders>
              <w:top w:val="nil"/>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1884" w:type="dxa"/>
            <w:tcBorders>
              <w:top w:val="nil"/>
              <w:left w:val="nil"/>
              <w:bottom w:val="single" w:color="000000" w:sz="4" w:space="0"/>
              <w:right w:val="single" w:color="000000" w:sz="4" w:space="0"/>
            </w:tcBorders>
            <w:shd w:val="clear" w:color="auto" w:fill="auto"/>
            <w:vAlign w:val="center"/>
          </w:tcPr>
          <w:p>
            <w:pPr>
              <w:jc w:val="right"/>
              <w:rPr>
                <w:rFonts w:asciiTheme="minorEastAsia" w:hAnsiTheme="minorEastAsia" w:cstheme="minorEastAsia"/>
                <w:color w:val="000000"/>
                <w:sz w:val="22"/>
                <w:szCs w:val="22"/>
              </w:rPr>
            </w:pPr>
          </w:p>
        </w:tc>
        <w:tc>
          <w:tcPr>
            <w:tcW w:w="87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30299</w:t>
            </w:r>
          </w:p>
        </w:tc>
        <w:tc>
          <w:tcPr>
            <w:tcW w:w="180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其他商品和服务支出</w:t>
            </w:r>
          </w:p>
        </w:tc>
        <w:tc>
          <w:tcPr>
            <w:tcW w:w="183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092"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39907</w:t>
            </w:r>
          </w:p>
        </w:tc>
        <w:tc>
          <w:tcPr>
            <w:tcW w:w="1984"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国家赔偿费用支出</w:t>
            </w:r>
          </w:p>
        </w:tc>
        <w:tc>
          <w:tcPr>
            <w:tcW w:w="1726"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1869" w:type="dxa"/>
            <w:tcBorders>
              <w:top w:val="nil"/>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1884" w:type="dxa"/>
            <w:tcBorders>
              <w:top w:val="nil"/>
              <w:left w:val="nil"/>
              <w:bottom w:val="single" w:color="000000" w:sz="4" w:space="0"/>
              <w:right w:val="single" w:color="000000" w:sz="4" w:space="0"/>
            </w:tcBorders>
            <w:shd w:val="clear" w:color="auto" w:fill="auto"/>
            <w:vAlign w:val="center"/>
          </w:tcPr>
          <w:p>
            <w:pPr>
              <w:jc w:val="right"/>
              <w:rPr>
                <w:rFonts w:asciiTheme="minorEastAsia" w:hAnsiTheme="minorEastAsia" w:cstheme="minorEastAsia"/>
                <w:color w:val="000000"/>
                <w:sz w:val="22"/>
                <w:szCs w:val="22"/>
              </w:rPr>
            </w:pPr>
          </w:p>
        </w:tc>
        <w:tc>
          <w:tcPr>
            <w:tcW w:w="87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307</w:t>
            </w:r>
          </w:p>
        </w:tc>
        <w:tc>
          <w:tcPr>
            <w:tcW w:w="180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债务利息及费用支出</w:t>
            </w:r>
          </w:p>
        </w:tc>
        <w:tc>
          <w:tcPr>
            <w:tcW w:w="183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092"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39908</w:t>
            </w:r>
          </w:p>
        </w:tc>
        <w:tc>
          <w:tcPr>
            <w:tcW w:w="1984"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对民间非营利组织和群众性自治组织补贴</w:t>
            </w:r>
          </w:p>
        </w:tc>
        <w:tc>
          <w:tcPr>
            <w:tcW w:w="1726"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1869" w:type="dxa"/>
            <w:tcBorders>
              <w:top w:val="nil"/>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1884" w:type="dxa"/>
            <w:tcBorders>
              <w:top w:val="nil"/>
              <w:left w:val="nil"/>
              <w:bottom w:val="single" w:color="000000" w:sz="4" w:space="0"/>
              <w:right w:val="single" w:color="000000" w:sz="4" w:space="0"/>
            </w:tcBorders>
            <w:shd w:val="clear" w:color="auto" w:fill="auto"/>
            <w:vAlign w:val="center"/>
          </w:tcPr>
          <w:p>
            <w:pPr>
              <w:jc w:val="right"/>
              <w:rPr>
                <w:rFonts w:asciiTheme="minorEastAsia" w:hAnsiTheme="minorEastAsia" w:cstheme="minorEastAsia"/>
                <w:color w:val="000000"/>
                <w:sz w:val="22"/>
                <w:szCs w:val="22"/>
              </w:rPr>
            </w:pPr>
          </w:p>
        </w:tc>
        <w:tc>
          <w:tcPr>
            <w:tcW w:w="87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30701</w:t>
            </w:r>
          </w:p>
        </w:tc>
        <w:tc>
          <w:tcPr>
            <w:tcW w:w="180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国内债务付息</w:t>
            </w:r>
          </w:p>
        </w:tc>
        <w:tc>
          <w:tcPr>
            <w:tcW w:w="183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092"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39909</w:t>
            </w:r>
          </w:p>
        </w:tc>
        <w:tc>
          <w:tcPr>
            <w:tcW w:w="1984"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经常性赠与</w:t>
            </w:r>
          </w:p>
        </w:tc>
        <w:tc>
          <w:tcPr>
            <w:tcW w:w="1726"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1869" w:type="dxa"/>
            <w:tcBorders>
              <w:top w:val="nil"/>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1884" w:type="dxa"/>
            <w:tcBorders>
              <w:top w:val="nil"/>
              <w:left w:val="nil"/>
              <w:bottom w:val="single" w:color="000000" w:sz="4" w:space="0"/>
              <w:right w:val="single" w:color="000000" w:sz="4" w:space="0"/>
            </w:tcBorders>
            <w:shd w:val="clear" w:color="auto" w:fill="auto"/>
            <w:vAlign w:val="center"/>
          </w:tcPr>
          <w:p>
            <w:pPr>
              <w:jc w:val="right"/>
              <w:rPr>
                <w:rFonts w:asciiTheme="minorEastAsia" w:hAnsiTheme="minorEastAsia" w:cstheme="minorEastAsia"/>
                <w:color w:val="000000"/>
                <w:sz w:val="22"/>
                <w:szCs w:val="22"/>
              </w:rPr>
            </w:pPr>
          </w:p>
        </w:tc>
        <w:tc>
          <w:tcPr>
            <w:tcW w:w="87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30702</w:t>
            </w:r>
          </w:p>
        </w:tc>
        <w:tc>
          <w:tcPr>
            <w:tcW w:w="180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国外债务付息</w:t>
            </w:r>
          </w:p>
        </w:tc>
        <w:tc>
          <w:tcPr>
            <w:tcW w:w="183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092"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39910</w:t>
            </w:r>
          </w:p>
        </w:tc>
        <w:tc>
          <w:tcPr>
            <w:tcW w:w="1984"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资本性赠与</w:t>
            </w:r>
          </w:p>
        </w:tc>
        <w:tc>
          <w:tcPr>
            <w:tcW w:w="1726"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1869" w:type="dxa"/>
            <w:tcBorders>
              <w:top w:val="nil"/>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1884" w:type="dxa"/>
            <w:tcBorders>
              <w:top w:val="nil"/>
              <w:left w:val="nil"/>
              <w:bottom w:val="single" w:color="000000" w:sz="4" w:space="0"/>
              <w:right w:val="single" w:color="000000" w:sz="4" w:space="0"/>
            </w:tcBorders>
            <w:shd w:val="clear" w:color="auto" w:fill="auto"/>
            <w:vAlign w:val="center"/>
          </w:tcPr>
          <w:p>
            <w:pPr>
              <w:jc w:val="right"/>
              <w:rPr>
                <w:rFonts w:asciiTheme="minorEastAsia" w:hAnsiTheme="minorEastAsia" w:cstheme="minorEastAsia"/>
                <w:color w:val="000000"/>
                <w:sz w:val="22"/>
                <w:szCs w:val="22"/>
              </w:rPr>
            </w:pPr>
          </w:p>
        </w:tc>
        <w:tc>
          <w:tcPr>
            <w:tcW w:w="877" w:type="dxa"/>
            <w:tcBorders>
              <w:top w:val="nil"/>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1800" w:type="dxa"/>
            <w:tcBorders>
              <w:top w:val="nil"/>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1831" w:type="dxa"/>
            <w:tcBorders>
              <w:top w:val="nil"/>
              <w:left w:val="nil"/>
              <w:bottom w:val="single" w:color="000000" w:sz="4" w:space="0"/>
              <w:right w:val="single" w:color="000000" w:sz="4" w:space="0"/>
            </w:tcBorders>
            <w:shd w:val="clear" w:color="auto" w:fill="auto"/>
            <w:noWrap/>
            <w:vAlign w:val="center"/>
          </w:tcPr>
          <w:p>
            <w:pPr>
              <w:jc w:val="right"/>
              <w:rPr>
                <w:rFonts w:asciiTheme="minorEastAsia" w:hAnsiTheme="minorEastAsia" w:cstheme="minorEastAsia"/>
                <w:color w:val="000000"/>
                <w:sz w:val="22"/>
                <w:szCs w:val="22"/>
              </w:rPr>
            </w:pPr>
          </w:p>
        </w:tc>
        <w:tc>
          <w:tcPr>
            <w:tcW w:w="1092"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39999</w:t>
            </w:r>
          </w:p>
        </w:tc>
        <w:tc>
          <w:tcPr>
            <w:tcW w:w="1984"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其他支出</w:t>
            </w:r>
          </w:p>
        </w:tc>
        <w:tc>
          <w:tcPr>
            <w:tcW w:w="1726"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2797" w:type="dxa"/>
            <w:gridSpan w:val="2"/>
            <w:tcBorders>
              <w:top w:val="nil"/>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人员经费合计</w:t>
            </w:r>
          </w:p>
        </w:tc>
        <w:tc>
          <w:tcPr>
            <w:tcW w:w="188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1,045,880.46</w:t>
            </w:r>
          </w:p>
        </w:tc>
        <w:tc>
          <w:tcPr>
            <w:tcW w:w="7584" w:type="dxa"/>
            <w:gridSpan w:val="5"/>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公用经费合计</w:t>
            </w:r>
          </w:p>
        </w:tc>
        <w:tc>
          <w:tcPr>
            <w:tcW w:w="1726"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26,240.27</w:t>
            </w:r>
          </w:p>
        </w:tc>
      </w:tr>
      <w:tr>
        <w:tblPrEx>
          <w:tblCellMar>
            <w:top w:w="0" w:type="dxa"/>
            <w:left w:w="108" w:type="dxa"/>
            <w:bottom w:w="0" w:type="dxa"/>
            <w:right w:w="108" w:type="dxa"/>
          </w:tblCellMar>
        </w:tblPrEx>
        <w:trPr>
          <w:trHeight w:val="308" w:hRule="atLeast"/>
        </w:trPr>
        <w:tc>
          <w:tcPr>
            <w:tcW w:w="13991" w:type="dxa"/>
            <w:gridSpan w:val="9"/>
            <w:tcBorders>
              <w:top w:val="nil"/>
              <w:left w:val="nil"/>
              <w:bottom w:val="nil"/>
              <w:right w:val="nil"/>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注：本表反映本年度一般公共预算财政拨款基本支出明细情况。</w:t>
            </w:r>
          </w:p>
        </w:tc>
      </w:tr>
    </w:tbl>
    <w:p>
      <w:pPr>
        <w:rPr>
          <w:rFonts w:asciiTheme="minorEastAsia" w:hAnsiTheme="minorEastAsia" w:cstheme="minorEastAsia"/>
          <w:sz w:val="22"/>
          <w:szCs w:val="22"/>
        </w:rPr>
      </w:pPr>
      <w:r>
        <w:rPr>
          <w:rFonts w:hint="eastAsia" w:asciiTheme="minorEastAsia" w:hAnsiTheme="minorEastAsia" w:cstheme="minorEastAsia"/>
          <w:sz w:val="22"/>
          <w:szCs w:val="22"/>
        </w:rPr>
        <w:br w:type="page"/>
      </w:r>
    </w:p>
    <w:p>
      <w:pPr>
        <w:pStyle w:val="28"/>
        <w:widowControl/>
        <w:jc w:val="both"/>
        <w:rPr>
          <w:rFonts w:asciiTheme="minorEastAsia" w:hAnsiTheme="minorEastAsia" w:eastAsiaTheme="minorEastAsia" w:cstheme="minorEastAsia"/>
          <w:color w:val="auto"/>
          <w:sz w:val="22"/>
          <w:szCs w:val="22"/>
        </w:rPr>
      </w:pPr>
      <w:r>
        <w:rPr>
          <w:rFonts w:hint="eastAsia" w:ascii="仿宋" w:hAnsi="仿宋" w:eastAsia="仿宋" w:cs="仿宋"/>
          <w:b/>
          <w:bCs/>
        </w:rPr>
        <w:t xml:space="preserve">八、政府性基金预算财政拨款收入支出决算表 </w:t>
      </w:r>
    </w:p>
    <w:tbl>
      <w:tblPr>
        <w:tblStyle w:val="11"/>
        <w:tblW w:w="13992" w:type="dxa"/>
        <w:tblInd w:w="0" w:type="dxa"/>
        <w:tblLayout w:type="fixed"/>
        <w:tblCellMar>
          <w:top w:w="0" w:type="dxa"/>
          <w:left w:w="108" w:type="dxa"/>
          <w:bottom w:w="0" w:type="dxa"/>
          <w:right w:w="108" w:type="dxa"/>
        </w:tblCellMar>
      </w:tblPr>
      <w:tblGrid>
        <w:gridCol w:w="1281"/>
        <w:gridCol w:w="3851"/>
        <w:gridCol w:w="1510"/>
        <w:gridCol w:w="1537"/>
        <w:gridCol w:w="1429"/>
        <w:gridCol w:w="1428"/>
        <w:gridCol w:w="1509"/>
        <w:gridCol w:w="1447"/>
      </w:tblGrid>
      <w:tr>
        <w:tblPrEx>
          <w:tblCellMar>
            <w:top w:w="0" w:type="dxa"/>
            <w:left w:w="108" w:type="dxa"/>
            <w:bottom w:w="0" w:type="dxa"/>
            <w:right w:w="108" w:type="dxa"/>
          </w:tblCellMar>
        </w:tblPrEx>
        <w:trPr>
          <w:trHeight w:val="320" w:hRule="atLeast"/>
        </w:trPr>
        <w:tc>
          <w:tcPr>
            <w:tcW w:w="12545" w:type="dxa"/>
            <w:gridSpan w:val="7"/>
            <w:tcBorders>
              <w:top w:val="nil"/>
              <w:left w:val="nil"/>
              <w:bottom w:val="nil"/>
              <w:right w:val="nil"/>
            </w:tcBorders>
            <w:shd w:val="clear" w:color="auto" w:fill="auto"/>
            <w:noWrap/>
            <w:vAlign w:val="bottom"/>
          </w:tcPr>
          <w:p>
            <w:pPr>
              <w:widowControl/>
              <w:textAlignment w:val="bottom"/>
              <w:rPr>
                <w:rFonts w:ascii="宋体-简" w:hAnsi="宋体-简" w:eastAsia="宋体-简" w:cs="宋体-简"/>
                <w:color w:val="000000"/>
                <w:sz w:val="20"/>
                <w:szCs w:val="20"/>
              </w:rPr>
            </w:pPr>
            <w:r>
              <w:rPr>
                <w:rFonts w:hint="eastAsia" w:ascii="宋体-简" w:hAnsi="宋体-简" w:eastAsia="宋体-简" w:cs="宋体-简"/>
                <w:color w:val="000000"/>
                <w:sz w:val="20"/>
                <w:szCs w:val="20"/>
              </w:rPr>
              <w:t>部门（单位）：</w:t>
            </w:r>
            <w:r>
              <w:rPr>
                <w:rFonts w:ascii="Arial" w:hAnsi="Arial" w:eastAsia="宋体-简" w:cs="Arial"/>
                <w:color w:val="000000"/>
                <w:sz w:val="20"/>
                <w:szCs w:val="20"/>
              </w:rPr>
              <w:t xml:space="preserve">天津市南开区纪委监委综合服务中心 </w:t>
            </w:r>
          </w:p>
        </w:tc>
        <w:tc>
          <w:tcPr>
            <w:tcW w:w="1447" w:type="dxa"/>
            <w:tcBorders>
              <w:top w:val="nil"/>
              <w:left w:val="nil"/>
              <w:bottom w:val="nil"/>
              <w:right w:val="nil"/>
            </w:tcBorders>
            <w:shd w:val="clear" w:color="auto" w:fill="auto"/>
            <w:noWrap/>
            <w:vAlign w:val="bottom"/>
          </w:tcPr>
          <w:p>
            <w:pPr>
              <w:widowControl/>
              <w:textAlignment w:val="bottom"/>
              <w:rPr>
                <w:rFonts w:ascii="宋体" w:hAnsi="宋体" w:eastAsia="宋体"/>
                <w:color w:val="000000"/>
                <w:sz w:val="20"/>
                <w:szCs w:val="20"/>
              </w:rPr>
            </w:pPr>
            <w:r>
              <w:rPr>
                <w:rFonts w:hint="eastAsia" w:ascii="宋体" w:hAnsi="宋体" w:eastAsia="宋体"/>
                <w:color w:val="000000"/>
                <w:sz w:val="20"/>
                <w:szCs w:val="20"/>
              </w:rPr>
              <w:t>单位：元</w:t>
            </w:r>
          </w:p>
        </w:tc>
      </w:tr>
      <w:tr>
        <w:tblPrEx>
          <w:tblCellMar>
            <w:top w:w="0" w:type="dxa"/>
            <w:left w:w="108" w:type="dxa"/>
            <w:bottom w:w="0" w:type="dxa"/>
            <w:right w:w="108" w:type="dxa"/>
          </w:tblCellMar>
        </w:tblPrEx>
        <w:trPr>
          <w:trHeight w:val="308" w:hRule="atLeast"/>
        </w:trPr>
        <w:tc>
          <w:tcPr>
            <w:tcW w:w="513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支出功能分类科目</w:t>
            </w:r>
          </w:p>
        </w:tc>
        <w:tc>
          <w:tcPr>
            <w:tcW w:w="1510" w:type="dxa"/>
            <w:vMerge w:val="restart"/>
            <w:tcBorders>
              <w:top w:val="single" w:color="000000" w:sz="4" w:space="0"/>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年初结转和结余</w:t>
            </w:r>
          </w:p>
        </w:tc>
        <w:tc>
          <w:tcPr>
            <w:tcW w:w="1537" w:type="dxa"/>
            <w:vMerge w:val="restart"/>
            <w:tcBorders>
              <w:top w:val="single" w:color="000000" w:sz="4" w:space="0"/>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本年收入</w:t>
            </w:r>
          </w:p>
        </w:tc>
        <w:tc>
          <w:tcPr>
            <w:tcW w:w="4366" w:type="dxa"/>
            <w:gridSpan w:val="3"/>
            <w:tcBorders>
              <w:top w:val="single" w:color="000000" w:sz="4" w:space="0"/>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本年支出</w:t>
            </w:r>
          </w:p>
        </w:tc>
        <w:tc>
          <w:tcPr>
            <w:tcW w:w="1447" w:type="dxa"/>
            <w:vMerge w:val="restart"/>
            <w:tcBorders>
              <w:top w:val="single" w:color="000000" w:sz="4" w:space="0"/>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年末结转和结余</w:t>
            </w:r>
          </w:p>
        </w:tc>
      </w:tr>
      <w:tr>
        <w:tblPrEx>
          <w:tblCellMar>
            <w:top w:w="0" w:type="dxa"/>
            <w:left w:w="108" w:type="dxa"/>
            <w:bottom w:w="0" w:type="dxa"/>
            <w:right w:w="108" w:type="dxa"/>
          </w:tblCellMar>
        </w:tblPrEx>
        <w:trPr>
          <w:trHeight w:val="308" w:hRule="atLeast"/>
        </w:trPr>
        <w:tc>
          <w:tcPr>
            <w:tcW w:w="1281" w:type="dxa"/>
            <w:tcBorders>
              <w:top w:val="nil"/>
              <w:left w:val="single" w:color="000000" w:sz="4" w:space="0"/>
              <w:bottom w:val="nil"/>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科目编码</w:t>
            </w:r>
          </w:p>
        </w:tc>
        <w:tc>
          <w:tcPr>
            <w:tcW w:w="3851" w:type="dxa"/>
            <w:tcBorders>
              <w:top w:val="nil"/>
              <w:left w:val="nil"/>
              <w:bottom w:val="nil"/>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科目名称</w:t>
            </w:r>
          </w:p>
        </w:tc>
        <w:tc>
          <w:tcPr>
            <w:tcW w:w="1510" w:type="dxa"/>
            <w:vMerge w:val="continue"/>
            <w:tcBorders>
              <w:top w:val="single" w:color="000000" w:sz="4" w:space="0"/>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1537" w:type="dxa"/>
            <w:vMerge w:val="continue"/>
            <w:tcBorders>
              <w:top w:val="single" w:color="000000" w:sz="4" w:space="0"/>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1429" w:type="dxa"/>
            <w:tcBorders>
              <w:top w:val="nil"/>
              <w:left w:val="nil"/>
              <w:bottom w:val="nil"/>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小计</w:t>
            </w:r>
          </w:p>
        </w:tc>
        <w:tc>
          <w:tcPr>
            <w:tcW w:w="1428" w:type="dxa"/>
            <w:tcBorders>
              <w:top w:val="nil"/>
              <w:left w:val="nil"/>
              <w:bottom w:val="nil"/>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基本支出</w:t>
            </w:r>
          </w:p>
        </w:tc>
        <w:tc>
          <w:tcPr>
            <w:tcW w:w="1509" w:type="dxa"/>
            <w:tcBorders>
              <w:top w:val="nil"/>
              <w:left w:val="nil"/>
              <w:bottom w:val="nil"/>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项目支出</w:t>
            </w:r>
          </w:p>
        </w:tc>
        <w:tc>
          <w:tcPr>
            <w:tcW w:w="1447" w:type="dxa"/>
            <w:vMerge w:val="continue"/>
            <w:tcBorders>
              <w:top w:val="single" w:color="000000" w:sz="4" w:space="0"/>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800" w:hRule="atLeast"/>
        </w:trPr>
        <w:tc>
          <w:tcPr>
            <w:tcW w:w="513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合计</w:t>
            </w:r>
          </w:p>
        </w:tc>
        <w:tc>
          <w:tcPr>
            <w:tcW w:w="15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5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4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4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13992" w:type="dxa"/>
            <w:gridSpan w:val="8"/>
            <w:tcBorders>
              <w:top w:val="nil"/>
              <w:left w:val="nil"/>
              <w:bottom w:val="nil"/>
              <w:right w:val="nil"/>
            </w:tcBorders>
            <w:shd w:val="clear" w:color="auto" w:fill="auto"/>
            <w:noWrap/>
            <w:vAlign w:val="center"/>
          </w:tcPr>
          <w:p>
            <w:pPr>
              <w:widowControl/>
              <w:textAlignment w:val="center"/>
              <w:rPr>
                <w:rFonts w:ascii="宋体" w:hAnsi="宋体" w:eastAsia="宋体"/>
                <w:color w:val="000000"/>
                <w:sz w:val="22"/>
                <w:szCs w:val="22"/>
              </w:rPr>
            </w:pPr>
            <w:r>
              <w:rPr>
                <w:rFonts w:hint="eastAsia" w:ascii="宋体" w:hAnsi="宋体" w:eastAsia="宋体"/>
                <w:color w:val="000000"/>
                <w:sz w:val="22"/>
                <w:szCs w:val="22"/>
              </w:rPr>
              <w:t>注：本表反映本年度政府性基金预算财政拨款收入、支出及结转和结余情况。</w:t>
            </w:r>
          </w:p>
        </w:tc>
      </w:tr>
    </w:tbl>
    <w:p>
      <w:pPr>
        <w:widowControl/>
        <w:ind w:firstLine="600" w:firstLineChars="200"/>
        <w:rPr>
          <w:rFonts w:ascii="宋体" w:eastAsia="仿宋_GB2312"/>
          <w:sz w:val="30"/>
          <w:szCs w:val="30"/>
        </w:rPr>
      </w:pPr>
      <w:r>
        <w:rPr>
          <w:rFonts w:ascii="宋体" w:eastAsia="仿宋_GB2312"/>
          <w:sz w:val="30"/>
          <w:szCs w:val="30"/>
        </w:rPr>
        <w:t>天津市南开区纪委监委综合服务中心2024年政府性基金预算财政拨款收入支出决算表为空表。</w:t>
      </w:r>
    </w:p>
    <w:p>
      <w:pPr>
        <w:rPr>
          <w:rFonts w:asciiTheme="minorEastAsia" w:hAnsiTheme="minorEastAsia" w:cstheme="minorEastAsia"/>
          <w:sz w:val="22"/>
          <w:szCs w:val="22"/>
        </w:rPr>
      </w:pPr>
      <w:r>
        <w:rPr>
          <w:rFonts w:hint="eastAsia" w:asciiTheme="minorEastAsia" w:hAnsiTheme="minorEastAsia" w:cstheme="minorEastAsia"/>
          <w:sz w:val="22"/>
          <w:szCs w:val="22"/>
        </w:rPr>
        <w:br w:type="page"/>
      </w:r>
    </w:p>
    <w:p>
      <w:pPr>
        <w:pStyle w:val="28"/>
        <w:widowControl/>
        <w:jc w:val="both"/>
        <w:rPr>
          <w:rFonts w:asciiTheme="minorEastAsia" w:hAnsiTheme="minorEastAsia" w:eastAsiaTheme="minorEastAsia" w:cstheme="minorEastAsia"/>
          <w:color w:val="auto"/>
          <w:sz w:val="22"/>
          <w:szCs w:val="22"/>
        </w:rPr>
      </w:pPr>
      <w:r>
        <w:rPr>
          <w:rFonts w:hint="eastAsia" w:ascii="仿宋" w:hAnsi="仿宋" w:eastAsia="仿宋" w:cs="仿宋"/>
          <w:b/>
          <w:bCs/>
        </w:rPr>
        <w:t xml:space="preserve">九、国有资本经营预算财政拨款支出决算表 </w:t>
      </w:r>
    </w:p>
    <w:tbl>
      <w:tblPr>
        <w:tblStyle w:val="11"/>
        <w:tblW w:w="13992" w:type="dxa"/>
        <w:tblInd w:w="0" w:type="dxa"/>
        <w:tblLayout w:type="fixed"/>
        <w:tblCellMar>
          <w:top w:w="0" w:type="dxa"/>
          <w:left w:w="108" w:type="dxa"/>
          <w:bottom w:w="0" w:type="dxa"/>
          <w:right w:w="108" w:type="dxa"/>
        </w:tblCellMar>
      </w:tblPr>
      <w:tblGrid>
        <w:gridCol w:w="1322"/>
        <w:gridCol w:w="3442"/>
        <w:gridCol w:w="1619"/>
        <w:gridCol w:w="1579"/>
        <w:gridCol w:w="1523"/>
        <w:gridCol w:w="1606"/>
        <w:gridCol w:w="1468"/>
        <w:gridCol w:w="1433"/>
      </w:tblGrid>
      <w:tr>
        <w:tblPrEx>
          <w:tblCellMar>
            <w:top w:w="0" w:type="dxa"/>
            <w:left w:w="108" w:type="dxa"/>
            <w:bottom w:w="0" w:type="dxa"/>
            <w:right w:w="108" w:type="dxa"/>
          </w:tblCellMar>
        </w:tblPrEx>
        <w:trPr>
          <w:trHeight w:val="320" w:hRule="atLeast"/>
        </w:trPr>
        <w:tc>
          <w:tcPr>
            <w:tcW w:w="12559" w:type="dxa"/>
            <w:gridSpan w:val="7"/>
            <w:tcBorders>
              <w:top w:val="nil"/>
              <w:left w:val="nil"/>
              <w:bottom w:val="nil"/>
              <w:right w:val="nil"/>
            </w:tcBorders>
            <w:shd w:val="clear" w:color="auto" w:fill="auto"/>
            <w:noWrap/>
            <w:vAlign w:val="bottom"/>
          </w:tcPr>
          <w:p>
            <w:pPr>
              <w:widowControl/>
              <w:textAlignment w:val="bottom"/>
              <w:rPr>
                <w:rFonts w:ascii="宋体-简" w:hAnsi="宋体-简" w:eastAsia="宋体-简" w:cs="宋体-简"/>
                <w:color w:val="000000"/>
                <w:sz w:val="20"/>
                <w:szCs w:val="20"/>
              </w:rPr>
            </w:pPr>
            <w:r>
              <w:rPr>
                <w:rFonts w:hint="eastAsia" w:ascii="宋体-简" w:hAnsi="宋体-简" w:eastAsia="宋体-简" w:cs="宋体-简"/>
                <w:color w:val="000000"/>
                <w:sz w:val="20"/>
                <w:szCs w:val="20"/>
              </w:rPr>
              <w:t>部门（单位）：</w:t>
            </w:r>
            <w:r>
              <w:rPr>
                <w:rFonts w:ascii="Arial" w:hAnsi="Arial" w:eastAsia="宋体-简" w:cs="Arial"/>
                <w:color w:val="000000"/>
                <w:sz w:val="20"/>
                <w:szCs w:val="20"/>
              </w:rPr>
              <w:t xml:space="preserve">天津市南开区纪委监委综合服务中心 </w:t>
            </w:r>
          </w:p>
        </w:tc>
        <w:tc>
          <w:tcPr>
            <w:tcW w:w="1433" w:type="dxa"/>
            <w:tcBorders>
              <w:top w:val="nil"/>
              <w:left w:val="nil"/>
              <w:bottom w:val="nil"/>
              <w:right w:val="nil"/>
            </w:tcBorders>
            <w:shd w:val="clear" w:color="auto" w:fill="auto"/>
            <w:noWrap/>
            <w:vAlign w:val="bottom"/>
          </w:tcPr>
          <w:p>
            <w:pPr>
              <w:widowControl/>
              <w:textAlignment w:val="bottom"/>
              <w:rPr>
                <w:rFonts w:ascii="宋体" w:hAnsi="宋体" w:eastAsia="宋体"/>
                <w:color w:val="000000"/>
                <w:sz w:val="20"/>
                <w:szCs w:val="20"/>
              </w:rPr>
            </w:pPr>
            <w:r>
              <w:rPr>
                <w:rFonts w:hint="eastAsia" w:ascii="宋体" w:hAnsi="宋体" w:eastAsia="宋体"/>
                <w:color w:val="000000"/>
                <w:sz w:val="20"/>
                <w:szCs w:val="20"/>
              </w:rPr>
              <w:t>单位：元</w:t>
            </w:r>
          </w:p>
        </w:tc>
      </w:tr>
      <w:tr>
        <w:tblPrEx>
          <w:tblCellMar>
            <w:top w:w="0" w:type="dxa"/>
            <w:left w:w="108" w:type="dxa"/>
            <w:bottom w:w="0" w:type="dxa"/>
            <w:right w:w="108" w:type="dxa"/>
          </w:tblCellMar>
        </w:tblPrEx>
        <w:trPr>
          <w:trHeight w:val="308" w:hRule="atLeast"/>
        </w:trPr>
        <w:tc>
          <w:tcPr>
            <w:tcW w:w="47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支出功能分类科目</w:t>
            </w:r>
          </w:p>
        </w:tc>
        <w:tc>
          <w:tcPr>
            <w:tcW w:w="161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年初结转和结余</w:t>
            </w:r>
          </w:p>
        </w:tc>
        <w:tc>
          <w:tcPr>
            <w:tcW w:w="157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本年收入</w:t>
            </w:r>
          </w:p>
        </w:tc>
        <w:tc>
          <w:tcPr>
            <w:tcW w:w="459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本年支出</w:t>
            </w:r>
          </w:p>
        </w:tc>
        <w:tc>
          <w:tcPr>
            <w:tcW w:w="143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年末结转和结余</w:t>
            </w:r>
          </w:p>
        </w:tc>
      </w:tr>
      <w:tr>
        <w:tblPrEx>
          <w:tblCellMar>
            <w:top w:w="0" w:type="dxa"/>
            <w:left w:w="108" w:type="dxa"/>
            <w:bottom w:w="0" w:type="dxa"/>
            <w:right w:w="108" w:type="dxa"/>
          </w:tblCellMar>
        </w:tblPrEx>
        <w:trPr>
          <w:trHeight w:val="308" w:hRule="atLeast"/>
        </w:trPr>
        <w:tc>
          <w:tcPr>
            <w:tcW w:w="1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科目编码</w:t>
            </w:r>
          </w:p>
        </w:tc>
        <w:tc>
          <w:tcPr>
            <w:tcW w:w="34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科目名称</w:t>
            </w:r>
          </w:p>
        </w:tc>
        <w:tc>
          <w:tcPr>
            <w:tcW w:w="161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Theme="minorEastAsia" w:hAnsiTheme="minorEastAsia" w:cstheme="minorEastAsia"/>
                <w:color w:val="000000"/>
                <w:sz w:val="22"/>
                <w:szCs w:val="22"/>
              </w:rPr>
            </w:pPr>
          </w:p>
        </w:tc>
        <w:tc>
          <w:tcPr>
            <w:tcW w:w="157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Theme="minorEastAsia" w:hAnsiTheme="minorEastAsia" w:cstheme="minorEastAsia"/>
                <w:color w:val="000000"/>
                <w:sz w:val="22"/>
                <w:szCs w:val="22"/>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合计</w:t>
            </w:r>
          </w:p>
        </w:tc>
        <w:tc>
          <w:tcPr>
            <w:tcW w:w="1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基本支出</w:t>
            </w:r>
          </w:p>
        </w:tc>
        <w:tc>
          <w:tcPr>
            <w:tcW w:w="1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项目支出</w:t>
            </w:r>
          </w:p>
        </w:tc>
        <w:tc>
          <w:tcPr>
            <w:tcW w:w="143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980" w:hRule="atLeast"/>
        </w:trPr>
        <w:tc>
          <w:tcPr>
            <w:tcW w:w="47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合计</w:t>
            </w:r>
          </w:p>
        </w:tc>
        <w:tc>
          <w:tcPr>
            <w:tcW w:w="16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22"/>
                <w:szCs w:val="22"/>
              </w:rPr>
            </w:pPr>
          </w:p>
        </w:tc>
        <w:tc>
          <w:tcPr>
            <w:tcW w:w="15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22"/>
                <w:szCs w:val="22"/>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22"/>
                <w:szCs w:val="22"/>
              </w:rPr>
            </w:pP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22"/>
                <w:szCs w:val="22"/>
              </w:rPr>
            </w:pPr>
          </w:p>
        </w:tc>
        <w:tc>
          <w:tcPr>
            <w:tcW w:w="14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22"/>
                <w:szCs w:val="22"/>
              </w:rPr>
            </w:pPr>
          </w:p>
        </w:tc>
        <w:tc>
          <w:tcPr>
            <w:tcW w:w="14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13992" w:type="dxa"/>
            <w:gridSpan w:val="8"/>
            <w:tcBorders>
              <w:top w:val="nil"/>
              <w:left w:val="nil"/>
              <w:bottom w:val="nil"/>
              <w:right w:val="nil"/>
            </w:tcBorders>
            <w:shd w:val="clear" w:color="auto" w:fill="auto"/>
            <w:noWrap/>
            <w:vAlign w:val="center"/>
          </w:tcPr>
          <w:p>
            <w:pPr>
              <w:widowControl/>
              <w:textAlignment w:val="center"/>
              <w:rPr>
                <w:rFonts w:ascii="宋体" w:hAnsi="宋体" w:eastAsia="宋体"/>
                <w:color w:val="000000"/>
                <w:sz w:val="22"/>
                <w:szCs w:val="22"/>
              </w:rPr>
            </w:pPr>
            <w:r>
              <w:rPr>
                <w:rFonts w:hint="eastAsia" w:ascii="宋体" w:hAnsi="宋体" w:eastAsia="宋体"/>
                <w:color w:val="000000"/>
                <w:sz w:val="22"/>
                <w:szCs w:val="22"/>
              </w:rPr>
              <w:t>注：本表反映本年度国有资本经营预算财政拨款收入、支出及结转和结余情况。</w:t>
            </w:r>
          </w:p>
        </w:tc>
      </w:tr>
    </w:tbl>
    <w:p>
      <w:pPr>
        <w:widowControl/>
        <w:ind w:firstLine="600" w:firstLineChars="200"/>
        <w:rPr>
          <w:rFonts w:ascii="宋体" w:eastAsia="仿宋_GB2312"/>
          <w:sz w:val="30"/>
          <w:szCs w:val="30"/>
        </w:rPr>
      </w:pPr>
      <w:r>
        <w:rPr>
          <w:rFonts w:ascii="宋体" w:eastAsia="仿宋_GB2312"/>
          <w:sz w:val="30"/>
          <w:szCs w:val="30"/>
        </w:rPr>
        <w:t>天津市南开区纪委监委综合服务中心2024年国有资本经营预算财政拨款收入支出决算表为空表。</w:t>
      </w:r>
    </w:p>
    <w:p>
      <w:pPr>
        <w:rPr>
          <w:rFonts w:asciiTheme="minorEastAsia" w:hAnsiTheme="minorEastAsia" w:cstheme="minorEastAsia"/>
          <w:sz w:val="22"/>
          <w:szCs w:val="22"/>
        </w:rPr>
      </w:pPr>
      <w:r>
        <w:rPr>
          <w:rFonts w:hint="eastAsia" w:asciiTheme="minorEastAsia" w:hAnsiTheme="minorEastAsia" w:cstheme="minorEastAsia"/>
          <w:sz w:val="22"/>
          <w:szCs w:val="22"/>
        </w:rPr>
        <w:br w:type="page"/>
      </w:r>
    </w:p>
    <w:p>
      <w:pPr>
        <w:pStyle w:val="28"/>
        <w:widowControl/>
        <w:jc w:val="both"/>
        <w:rPr>
          <w:rFonts w:ascii="仿宋" w:hAnsi="仿宋" w:eastAsia="仿宋" w:cs="仿宋"/>
          <w:b/>
          <w:bCs/>
        </w:rPr>
      </w:pPr>
      <w:r>
        <w:rPr>
          <w:rFonts w:hint="eastAsia" w:ascii="仿宋" w:hAnsi="仿宋" w:eastAsia="仿宋" w:cs="仿宋"/>
          <w:b/>
          <w:bCs/>
        </w:rPr>
        <w:t xml:space="preserve">十、财政拨款“三公”经费支出决算表 </w:t>
      </w:r>
    </w:p>
    <w:tbl>
      <w:tblPr>
        <w:tblStyle w:val="11"/>
        <w:tblW w:w="13638" w:type="dxa"/>
        <w:tblInd w:w="88" w:type="dxa"/>
        <w:tblLayout w:type="fixed"/>
        <w:tblCellMar>
          <w:top w:w="0" w:type="dxa"/>
          <w:left w:w="108" w:type="dxa"/>
          <w:bottom w:w="0" w:type="dxa"/>
          <w:right w:w="108" w:type="dxa"/>
        </w:tblCellMar>
      </w:tblPr>
      <w:tblGrid>
        <w:gridCol w:w="2169"/>
        <w:gridCol w:w="2108"/>
        <w:gridCol w:w="2400"/>
        <w:gridCol w:w="2385"/>
        <w:gridCol w:w="2430"/>
        <w:gridCol w:w="2146"/>
      </w:tblGrid>
      <w:tr>
        <w:tblPrEx>
          <w:tblCellMar>
            <w:top w:w="0" w:type="dxa"/>
            <w:left w:w="108" w:type="dxa"/>
            <w:bottom w:w="0" w:type="dxa"/>
            <w:right w:w="108" w:type="dxa"/>
          </w:tblCellMar>
        </w:tblPrEx>
        <w:trPr>
          <w:trHeight w:val="320" w:hRule="atLeast"/>
        </w:trPr>
        <w:tc>
          <w:tcPr>
            <w:tcW w:w="11492" w:type="dxa"/>
            <w:gridSpan w:val="5"/>
            <w:tcBorders>
              <w:top w:val="nil"/>
              <w:left w:val="nil"/>
              <w:bottom w:val="nil"/>
              <w:right w:val="nil"/>
            </w:tcBorders>
            <w:shd w:val="clear" w:color="auto" w:fill="auto"/>
            <w:noWrap/>
            <w:vAlign w:val="bottom"/>
          </w:tcPr>
          <w:p>
            <w:pPr>
              <w:widowControl/>
              <w:textAlignment w:val="bottom"/>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部门（单位）：天津市南开区纪委监委综合服务中心 </w:t>
            </w:r>
          </w:p>
        </w:tc>
        <w:tc>
          <w:tcPr>
            <w:tcW w:w="2146" w:type="dxa"/>
            <w:tcBorders>
              <w:top w:val="nil"/>
              <w:left w:val="nil"/>
              <w:bottom w:val="nil"/>
              <w:right w:val="nil"/>
            </w:tcBorders>
            <w:shd w:val="clear" w:color="auto" w:fill="auto"/>
            <w:noWrap/>
            <w:vAlign w:val="bottom"/>
          </w:tcPr>
          <w:p>
            <w:pPr>
              <w:widowControl/>
              <w:textAlignment w:val="bottom"/>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单位：元</w:t>
            </w:r>
          </w:p>
        </w:tc>
      </w:tr>
      <w:tr>
        <w:tblPrEx>
          <w:tblCellMar>
            <w:top w:w="0" w:type="dxa"/>
            <w:left w:w="108" w:type="dxa"/>
            <w:bottom w:w="0" w:type="dxa"/>
            <w:right w:w="108" w:type="dxa"/>
          </w:tblCellMar>
        </w:tblPrEx>
        <w:trPr>
          <w:trHeight w:val="308" w:hRule="atLeast"/>
        </w:trPr>
        <w:tc>
          <w:tcPr>
            <w:tcW w:w="216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合计</w:t>
            </w:r>
          </w:p>
        </w:tc>
        <w:tc>
          <w:tcPr>
            <w:tcW w:w="2108" w:type="dxa"/>
            <w:vMerge w:val="restart"/>
            <w:tcBorders>
              <w:top w:val="single" w:color="000000" w:sz="4" w:space="0"/>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因公出国（境）费</w:t>
            </w:r>
          </w:p>
        </w:tc>
        <w:tc>
          <w:tcPr>
            <w:tcW w:w="7215" w:type="dxa"/>
            <w:gridSpan w:val="3"/>
            <w:tcBorders>
              <w:top w:val="single" w:color="000000" w:sz="4" w:space="0"/>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公务用车购置及运行维护费</w:t>
            </w:r>
          </w:p>
        </w:tc>
        <w:tc>
          <w:tcPr>
            <w:tcW w:w="2146" w:type="dxa"/>
            <w:vMerge w:val="restart"/>
            <w:tcBorders>
              <w:top w:val="single" w:color="000000" w:sz="4" w:space="0"/>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公务接待费</w:t>
            </w:r>
          </w:p>
        </w:tc>
      </w:tr>
      <w:tr>
        <w:tblPrEx>
          <w:tblCellMar>
            <w:top w:w="0" w:type="dxa"/>
            <w:left w:w="108" w:type="dxa"/>
            <w:bottom w:w="0" w:type="dxa"/>
            <w:right w:w="108" w:type="dxa"/>
          </w:tblCellMar>
        </w:tblPrEx>
        <w:trPr>
          <w:trHeight w:val="308" w:hRule="atLeast"/>
        </w:trPr>
        <w:tc>
          <w:tcPr>
            <w:tcW w:w="216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Theme="minorEastAsia" w:hAnsiTheme="minorEastAsia" w:cstheme="minorEastAsia"/>
                <w:color w:val="000000"/>
                <w:sz w:val="22"/>
                <w:szCs w:val="22"/>
              </w:rPr>
            </w:pPr>
          </w:p>
        </w:tc>
        <w:tc>
          <w:tcPr>
            <w:tcW w:w="2108"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asciiTheme="minorEastAsia" w:hAnsiTheme="minorEastAsia" w:cstheme="minorEastAsia"/>
                <w:color w:val="000000"/>
                <w:sz w:val="22"/>
                <w:szCs w:val="22"/>
              </w:rPr>
            </w:pPr>
          </w:p>
        </w:tc>
        <w:tc>
          <w:tcPr>
            <w:tcW w:w="2400" w:type="dxa"/>
            <w:tcBorders>
              <w:top w:val="nil"/>
              <w:left w:val="nil"/>
              <w:bottom w:val="nil"/>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小计</w:t>
            </w:r>
          </w:p>
        </w:tc>
        <w:tc>
          <w:tcPr>
            <w:tcW w:w="2385" w:type="dxa"/>
            <w:tcBorders>
              <w:top w:val="nil"/>
              <w:left w:val="nil"/>
              <w:bottom w:val="nil"/>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公务用车购置费</w:t>
            </w:r>
          </w:p>
        </w:tc>
        <w:tc>
          <w:tcPr>
            <w:tcW w:w="2430" w:type="dxa"/>
            <w:tcBorders>
              <w:top w:val="nil"/>
              <w:left w:val="nil"/>
              <w:bottom w:val="nil"/>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公务用车运行维护费</w:t>
            </w:r>
          </w:p>
        </w:tc>
        <w:tc>
          <w:tcPr>
            <w:tcW w:w="2146"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720" w:hRule="atLeast"/>
        </w:trPr>
        <w:tc>
          <w:tcPr>
            <w:tcW w:w="21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22"/>
                <w:szCs w:val="22"/>
              </w:rPr>
            </w:pPr>
          </w:p>
        </w:tc>
        <w:tc>
          <w:tcPr>
            <w:tcW w:w="21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22"/>
                <w:szCs w:val="22"/>
              </w:rPr>
            </w:pP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22"/>
                <w:szCs w:val="22"/>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22"/>
                <w:szCs w:val="22"/>
              </w:rPr>
            </w:pPr>
          </w:p>
        </w:tc>
        <w:tc>
          <w:tcPr>
            <w:tcW w:w="24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22"/>
                <w:szCs w:val="22"/>
              </w:rPr>
            </w:pPr>
          </w:p>
        </w:tc>
        <w:tc>
          <w:tcPr>
            <w:tcW w:w="21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13638" w:type="dxa"/>
            <w:gridSpan w:val="6"/>
            <w:tcBorders>
              <w:top w:val="nil"/>
              <w:left w:val="nil"/>
              <w:bottom w:val="nil"/>
              <w:right w:val="nil"/>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注：本表反映本年度“三公”经费支出决算情况。其中决算数是包括当年财政拨款和以前年度结转资金安排的实际支出。</w:t>
            </w:r>
          </w:p>
        </w:tc>
      </w:tr>
    </w:tbl>
    <w:p>
      <w:pPr>
        <w:widowControl/>
        <w:ind w:firstLine="600" w:firstLineChars="200"/>
        <w:rPr>
          <w:rFonts w:ascii="宋体" w:eastAsia="仿宋_GB2312"/>
          <w:sz w:val="30"/>
          <w:szCs w:val="30"/>
        </w:rPr>
      </w:pPr>
      <w:r>
        <w:rPr>
          <w:rFonts w:ascii="宋体" w:eastAsia="仿宋_GB2312"/>
          <w:sz w:val="30"/>
          <w:szCs w:val="30"/>
        </w:rPr>
        <w:t>天津市南开区纪委监委综合服务中心2024年财政拨款“三公”经费支出决算表为空表。</w:t>
      </w:r>
    </w:p>
    <w:p>
      <w:pPr>
        <w:rPr>
          <w:rFonts w:asciiTheme="minorEastAsia" w:hAnsiTheme="minorEastAsia" w:cstheme="minorEastAsia"/>
          <w:sz w:val="22"/>
          <w:szCs w:val="22"/>
        </w:rPr>
      </w:pPr>
      <w:r>
        <w:rPr>
          <w:rFonts w:hint="eastAsia" w:asciiTheme="minorEastAsia" w:hAnsiTheme="minorEastAsia" w:cstheme="minorEastAsia"/>
          <w:sz w:val="22"/>
          <w:szCs w:val="22"/>
        </w:rPr>
        <w:br w:type="page"/>
      </w:r>
    </w:p>
    <w:p>
      <w:pPr>
        <w:pStyle w:val="28"/>
        <w:widowControl/>
        <w:jc w:val="both"/>
        <w:rPr>
          <w:rFonts w:ascii="仿宋" w:hAnsi="仿宋" w:eastAsia="仿宋" w:cs="仿宋"/>
          <w:b/>
          <w:bCs/>
        </w:rPr>
      </w:pPr>
      <w:r>
        <w:rPr>
          <w:rFonts w:hint="eastAsia" w:ascii="仿宋" w:hAnsi="仿宋" w:eastAsia="仿宋" w:cs="仿宋"/>
          <w:b/>
          <w:bCs/>
        </w:rPr>
        <w:t xml:space="preserve">十一、项目支出决算表 </w:t>
      </w:r>
    </w:p>
    <w:tbl>
      <w:tblPr>
        <w:tblStyle w:val="11"/>
        <w:tblW w:w="13991" w:type="dxa"/>
        <w:tblInd w:w="0" w:type="dxa"/>
        <w:tblLayout w:type="fixed"/>
        <w:tblCellMar>
          <w:top w:w="0" w:type="dxa"/>
          <w:left w:w="108" w:type="dxa"/>
          <w:bottom w:w="0" w:type="dxa"/>
          <w:right w:w="108" w:type="dxa"/>
        </w:tblCellMar>
      </w:tblPr>
      <w:tblGrid>
        <w:gridCol w:w="1112"/>
        <w:gridCol w:w="2862"/>
        <w:gridCol w:w="1738"/>
        <w:gridCol w:w="1616"/>
        <w:gridCol w:w="1707"/>
        <w:gridCol w:w="1693"/>
        <w:gridCol w:w="1674"/>
        <w:gridCol w:w="1589"/>
      </w:tblGrid>
      <w:tr>
        <w:tblPrEx>
          <w:tblCellMar>
            <w:top w:w="0" w:type="dxa"/>
            <w:left w:w="108" w:type="dxa"/>
            <w:bottom w:w="0" w:type="dxa"/>
            <w:right w:w="108" w:type="dxa"/>
          </w:tblCellMar>
        </w:tblPrEx>
        <w:trPr>
          <w:trHeight w:val="320" w:hRule="atLeast"/>
        </w:trPr>
        <w:tc>
          <w:tcPr>
            <w:tcW w:w="12402" w:type="dxa"/>
            <w:gridSpan w:val="7"/>
            <w:tcBorders>
              <w:top w:val="nil"/>
              <w:left w:val="nil"/>
              <w:bottom w:val="nil"/>
              <w:right w:val="nil"/>
            </w:tcBorders>
            <w:shd w:val="clear" w:color="auto" w:fill="auto"/>
            <w:noWrap/>
            <w:vAlign w:val="bottom"/>
          </w:tcPr>
          <w:p>
            <w:pPr>
              <w:widowControl/>
              <w:textAlignment w:val="bottom"/>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部门（单位）：天津市南开区纪委监委综合服务中心 </w:t>
            </w:r>
          </w:p>
        </w:tc>
        <w:tc>
          <w:tcPr>
            <w:tcW w:w="1589" w:type="dxa"/>
            <w:tcBorders>
              <w:top w:val="nil"/>
              <w:left w:val="nil"/>
              <w:bottom w:val="nil"/>
              <w:right w:val="nil"/>
            </w:tcBorders>
            <w:shd w:val="clear" w:color="auto" w:fill="auto"/>
            <w:noWrap/>
            <w:vAlign w:val="bottom"/>
          </w:tcPr>
          <w:p>
            <w:pPr>
              <w:widowControl/>
              <w:textAlignment w:val="bottom"/>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单位：元</w:t>
            </w:r>
          </w:p>
        </w:tc>
      </w:tr>
      <w:tr>
        <w:tblPrEx>
          <w:tblCellMar>
            <w:top w:w="0" w:type="dxa"/>
            <w:left w:w="108" w:type="dxa"/>
            <w:bottom w:w="0" w:type="dxa"/>
            <w:right w:w="108" w:type="dxa"/>
          </w:tblCellMar>
        </w:tblPrEx>
        <w:trPr>
          <w:trHeight w:val="308" w:hRule="atLeast"/>
        </w:trPr>
        <w:tc>
          <w:tcPr>
            <w:tcW w:w="397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项目</w:t>
            </w:r>
          </w:p>
        </w:tc>
        <w:tc>
          <w:tcPr>
            <w:tcW w:w="10017" w:type="dxa"/>
            <w:gridSpan w:val="6"/>
            <w:tcBorders>
              <w:top w:val="single" w:color="000000" w:sz="4" w:space="0"/>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本年支出</w:t>
            </w:r>
          </w:p>
        </w:tc>
      </w:tr>
      <w:tr>
        <w:tblPrEx>
          <w:tblCellMar>
            <w:top w:w="0" w:type="dxa"/>
            <w:left w:w="108" w:type="dxa"/>
            <w:bottom w:w="0" w:type="dxa"/>
            <w:right w:w="108" w:type="dxa"/>
          </w:tblCellMar>
        </w:tblPrEx>
        <w:trPr>
          <w:trHeight w:val="308" w:hRule="atLeast"/>
        </w:trPr>
        <w:tc>
          <w:tcPr>
            <w:tcW w:w="1112" w:type="dxa"/>
            <w:tcBorders>
              <w:top w:val="nil"/>
              <w:left w:val="single" w:color="000000" w:sz="4" w:space="0"/>
              <w:bottom w:val="nil"/>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科目编码</w:t>
            </w:r>
          </w:p>
        </w:tc>
        <w:tc>
          <w:tcPr>
            <w:tcW w:w="2862" w:type="dxa"/>
            <w:tcBorders>
              <w:top w:val="nil"/>
              <w:left w:val="nil"/>
              <w:bottom w:val="nil"/>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科目名称（二级项目名称）</w:t>
            </w:r>
          </w:p>
        </w:tc>
        <w:tc>
          <w:tcPr>
            <w:tcW w:w="1738" w:type="dxa"/>
            <w:tcBorders>
              <w:top w:val="nil"/>
              <w:left w:val="nil"/>
              <w:bottom w:val="nil"/>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合计</w:t>
            </w:r>
          </w:p>
        </w:tc>
        <w:tc>
          <w:tcPr>
            <w:tcW w:w="1616" w:type="dxa"/>
            <w:tcBorders>
              <w:top w:val="nil"/>
              <w:left w:val="nil"/>
              <w:bottom w:val="nil"/>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一般公共预算</w:t>
            </w:r>
          </w:p>
        </w:tc>
        <w:tc>
          <w:tcPr>
            <w:tcW w:w="1707" w:type="dxa"/>
            <w:tcBorders>
              <w:top w:val="nil"/>
              <w:left w:val="nil"/>
              <w:bottom w:val="nil"/>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政府性基金预算</w:t>
            </w:r>
          </w:p>
        </w:tc>
        <w:tc>
          <w:tcPr>
            <w:tcW w:w="1693" w:type="dxa"/>
            <w:tcBorders>
              <w:top w:val="nil"/>
              <w:left w:val="nil"/>
              <w:bottom w:val="nil"/>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国有资本经营预算</w:t>
            </w:r>
          </w:p>
        </w:tc>
        <w:tc>
          <w:tcPr>
            <w:tcW w:w="1674" w:type="dxa"/>
            <w:tcBorders>
              <w:top w:val="nil"/>
              <w:left w:val="nil"/>
              <w:bottom w:val="nil"/>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财政专户管理资金</w:t>
            </w:r>
          </w:p>
        </w:tc>
        <w:tc>
          <w:tcPr>
            <w:tcW w:w="1589" w:type="dxa"/>
            <w:tcBorders>
              <w:top w:val="nil"/>
              <w:left w:val="nil"/>
              <w:bottom w:val="nil"/>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单位资金</w:t>
            </w:r>
          </w:p>
        </w:tc>
      </w:tr>
      <w:tr>
        <w:tblPrEx>
          <w:tblCellMar>
            <w:top w:w="0" w:type="dxa"/>
            <w:left w:w="108" w:type="dxa"/>
            <w:bottom w:w="0" w:type="dxa"/>
            <w:right w:w="108" w:type="dxa"/>
          </w:tblCellMar>
        </w:tblPrEx>
        <w:trPr>
          <w:trHeight w:val="1180" w:hRule="atLeast"/>
        </w:trPr>
        <w:tc>
          <w:tcPr>
            <w:tcW w:w="397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bookmarkStart w:id="0" w:name="_GoBack" w:colFirst="2" w:colLast="3"/>
            <w:r>
              <w:rPr>
                <w:rFonts w:hint="eastAsia" w:asciiTheme="minorEastAsia" w:hAnsiTheme="minorEastAsia" w:cstheme="minorEastAsia"/>
                <w:color w:val="000000"/>
                <w:sz w:val="22"/>
                <w:szCs w:val="22"/>
              </w:rPr>
              <w:t>合计</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87,126.21</w:t>
            </w:r>
          </w:p>
        </w:tc>
        <w:tc>
          <w:tcPr>
            <w:tcW w:w="16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87,126.21</w:t>
            </w:r>
          </w:p>
        </w:tc>
        <w:tc>
          <w:tcPr>
            <w:tcW w:w="17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22"/>
                <w:szCs w:val="22"/>
              </w:rPr>
            </w:pPr>
          </w:p>
        </w:tc>
        <w:tc>
          <w:tcPr>
            <w:tcW w:w="16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22"/>
                <w:szCs w:val="22"/>
              </w:rPr>
            </w:pPr>
          </w:p>
        </w:tc>
        <w:tc>
          <w:tcPr>
            <w:tcW w:w="16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22"/>
                <w:szCs w:val="22"/>
              </w:rPr>
            </w:pP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940" w:hRule="atLeast"/>
        </w:trPr>
        <w:tc>
          <w:tcPr>
            <w:tcW w:w="1112"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201</w:t>
            </w:r>
          </w:p>
        </w:tc>
        <w:tc>
          <w:tcPr>
            <w:tcW w:w="2862"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一般公共服务支出</w:t>
            </w:r>
          </w:p>
        </w:tc>
        <w:tc>
          <w:tcPr>
            <w:tcW w:w="1738"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87,126.21</w:t>
            </w:r>
          </w:p>
        </w:tc>
        <w:tc>
          <w:tcPr>
            <w:tcW w:w="1616"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87,126.21</w:t>
            </w:r>
          </w:p>
        </w:tc>
        <w:tc>
          <w:tcPr>
            <w:tcW w:w="1707" w:type="dxa"/>
            <w:tcBorders>
              <w:top w:val="nil"/>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693" w:type="dxa"/>
            <w:tcBorders>
              <w:top w:val="nil"/>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674" w:type="dxa"/>
            <w:tcBorders>
              <w:top w:val="nil"/>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589" w:type="dxa"/>
            <w:tcBorders>
              <w:top w:val="nil"/>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940" w:hRule="atLeast"/>
        </w:trPr>
        <w:tc>
          <w:tcPr>
            <w:tcW w:w="1112"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20111</w:t>
            </w:r>
          </w:p>
        </w:tc>
        <w:tc>
          <w:tcPr>
            <w:tcW w:w="2862"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纪检监察事务</w:t>
            </w:r>
          </w:p>
        </w:tc>
        <w:tc>
          <w:tcPr>
            <w:tcW w:w="1738"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87,126.21</w:t>
            </w:r>
          </w:p>
        </w:tc>
        <w:tc>
          <w:tcPr>
            <w:tcW w:w="1616"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87,126.21</w:t>
            </w:r>
          </w:p>
        </w:tc>
        <w:tc>
          <w:tcPr>
            <w:tcW w:w="1707" w:type="dxa"/>
            <w:tcBorders>
              <w:top w:val="nil"/>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693" w:type="dxa"/>
            <w:tcBorders>
              <w:top w:val="nil"/>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674" w:type="dxa"/>
            <w:tcBorders>
              <w:top w:val="nil"/>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589" w:type="dxa"/>
            <w:tcBorders>
              <w:top w:val="nil"/>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940" w:hRule="atLeast"/>
        </w:trPr>
        <w:tc>
          <w:tcPr>
            <w:tcW w:w="1112"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2011199</w:t>
            </w:r>
          </w:p>
        </w:tc>
        <w:tc>
          <w:tcPr>
            <w:tcW w:w="2862"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其他纪检监察事务支出</w:t>
            </w:r>
          </w:p>
        </w:tc>
        <w:tc>
          <w:tcPr>
            <w:tcW w:w="1738"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87,126.21</w:t>
            </w:r>
          </w:p>
        </w:tc>
        <w:tc>
          <w:tcPr>
            <w:tcW w:w="1616"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87,126.21</w:t>
            </w:r>
          </w:p>
        </w:tc>
        <w:tc>
          <w:tcPr>
            <w:tcW w:w="1707" w:type="dxa"/>
            <w:tcBorders>
              <w:top w:val="nil"/>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693" w:type="dxa"/>
            <w:tcBorders>
              <w:top w:val="nil"/>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674" w:type="dxa"/>
            <w:tcBorders>
              <w:top w:val="nil"/>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589" w:type="dxa"/>
            <w:tcBorders>
              <w:top w:val="nil"/>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940" w:hRule="atLeast"/>
        </w:trPr>
        <w:tc>
          <w:tcPr>
            <w:tcW w:w="1112"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2011199</w:t>
            </w:r>
          </w:p>
        </w:tc>
        <w:tc>
          <w:tcPr>
            <w:tcW w:w="2862"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经费补助</w:t>
            </w:r>
          </w:p>
        </w:tc>
        <w:tc>
          <w:tcPr>
            <w:tcW w:w="1738"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68,376.21</w:t>
            </w:r>
          </w:p>
        </w:tc>
        <w:tc>
          <w:tcPr>
            <w:tcW w:w="1616"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68,376.21</w:t>
            </w:r>
          </w:p>
        </w:tc>
        <w:tc>
          <w:tcPr>
            <w:tcW w:w="1707" w:type="dxa"/>
            <w:tcBorders>
              <w:top w:val="nil"/>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693" w:type="dxa"/>
            <w:tcBorders>
              <w:top w:val="nil"/>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674" w:type="dxa"/>
            <w:tcBorders>
              <w:top w:val="nil"/>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589" w:type="dxa"/>
            <w:tcBorders>
              <w:top w:val="nil"/>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940" w:hRule="atLeast"/>
        </w:trPr>
        <w:tc>
          <w:tcPr>
            <w:tcW w:w="1112"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2011199</w:t>
            </w:r>
          </w:p>
        </w:tc>
        <w:tc>
          <w:tcPr>
            <w:tcW w:w="2862"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伙食费</w:t>
            </w:r>
          </w:p>
        </w:tc>
        <w:tc>
          <w:tcPr>
            <w:tcW w:w="1738"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18,750.00</w:t>
            </w:r>
          </w:p>
        </w:tc>
        <w:tc>
          <w:tcPr>
            <w:tcW w:w="1616"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18,750.00</w:t>
            </w:r>
          </w:p>
        </w:tc>
        <w:tc>
          <w:tcPr>
            <w:tcW w:w="1707" w:type="dxa"/>
            <w:tcBorders>
              <w:top w:val="nil"/>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693" w:type="dxa"/>
            <w:tcBorders>
              <w:top w:val="nil"/>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674" w:type="dxa"/>
            <w:tcBorders>
              <w:top w:val="nil"/>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589" w:type="dxa"/>
            <w:tcBorders>
              <w:top w:val="nil"/>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r>
      <w:bookmarkEnd w:id="0"/>
      <w:tr>
        <w:tblPrEx>
          <w:tblCellMar>
            <w:top w:w="0" w:type="dxa"/>
            <w:left w:w="108" w:type="dxa"/>
            <w:bottom w:w="0" w:type="dxa"/>
            <w:right w:w="108" w:type="dxa"/>
          </w:tblCellMar>
        </w:tblPrEx>
        <w:trPr>
          <w:trHeight w:val="308" w:hRule="atLeast"/>
        </w:trPr>
        <w:tc>
          <w:tcPr>
            <w:tcW w:w="13991" w:type="dxa"/>
            <w:gridSpan w:val="8"/>
            <w:tcBorders>
              <w:top w:val="nil"/>
              <w:left w:val="nil"/>
              <w:bottom w:val="nil"/>
              <w:right w:val="nil"/>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注：本表反映本年度项目支出决算情况，其中支出数包括当年预算资金和以前年度结转资金安排的合计实际支出。</w:t>
            </w:r>
          </w:p>
        </w:tc>
      </w:tr>
    </w:tbl>
    <w:p>
      <w:pPr>
        <w:rPr>
          <w:rFonts w:asciiTheme="minorEastAsia" w:hAnsiTheme="minorEastAsia" w:cstheme="minorEastAsia"/>
          <w:sz w:val="22"/>
          <w:szCs w:val="22"/>
        </w:rPr>
      </w:pPr>
    </w:p>
    <w:p>
      <w:pPr>
        <w:rPr>
          <w:rFonts w:asciiTheme="minorEastAsia" w:hAnsiTheme="minorEastAsia" w:cstheme="minorEastAsia"/>
          <w:sz w:val="22"/>
          <w:szCs w:val="22"/>
        </w:rPr>
        <w:sectPr>
          <w:pgSz w:w="16838" w:h="11906" w:orient="landscape"/>
          <w:pgMar w:top="2098" w:right="1531" w:bottom="1984" w:left="1531" w:header="851" w:footer="992" w:gutter="0"/>
          <w:cols w:space="720" w:num="1"/>
          <w:docGrid w:type="lines" w:linePitch="312" w:charSpace="0"/>
        </w:sectPr>
      </w:pPr>
    </w:p>
    <w:p>
      <w:pPr>
        <w:widowControl/>
        <w:spacing w:line="360" w:lineRule="auto"/>
        <w:jc w:val="center"/>
        <w:outlineLvl w:val="0"/>
        <w:rPr>
          <w:rFonts w:ascii="黑体" w:eastAsia="黑体"/>
          <w:sz w:val="44"/>
          <w:szCs w:val="44"/>
        </w:rPr>
      </w:pPr>
      <w:r>
        <w:rPr>
          <w:rFonts w:ascii="黑体" w:eastAsia="黑体"/>
          <w:sz w:val="44"/>
          <w:szCs w:val="44"/>
        </w:rPr>
        <w:t>第三部分  2024年度部门决算情况说明</w:t>
      </w:r>
    </w:p>
    <w:p>
      <w:pPr>
        <w:widowControl/>
        <w:spacing w:line="360" w:lineRule="auto"/>
        <w:ind w:firstLine="602" w:firstLineChars="200"/>
        <w:outlineLvl w:val="1"/>
        <w:rPr>
          <w:rFonts w:ascii="宋体" w:eastAsia="黑体"/>
          <w:sz w:val="30"/>
          <w:szCs w:val="30"/>
        </w:rPr>
      </w:pPr>
      <w:r>
        <w:rPr>
          <w:rFonts w:ascii="宋体" w:eastAsia="黑体"/>
          <w:b/>
          <w:sz w:val="30"/>
          <w:szCs w:val="30"/>
        </w:rPr>
        <w:t>一、收入支出决算总体情况说明</w:t>
      </w:r>
    </w:p>
    <w:p>
      <w:pPr>
        <w:widowControl/>
        <w:spacing w:line="360" w:lineRule="auto"/>
        <w:ind w:firstLine="600" w:firstLineChars="200"/>
        <w:rPr>
          <w:rFonts w:ascii="Times New Roman" w:eastAsia="仿宋_GB2312"/>
          <w:sz w:val="30"/>
          <w:szCs w:val="30"/>
        </w:rPr>
      </w:pPr>
      <w:r>
        <w:rPr>
          <w:rFonts w:ascii="Times New Roman" w:eastAsia="仿宋_GB2312"/>
          <w:sz w:val="30"/>
          <w:szCs w:val="30"/>
        </w:rPr>
        <w:t>天津市南开区纪委监委综合服务中心2024年度收入、支出决算总计1,159,246.94元。与2023年度相比，收、支总计各增加288,653.23元，增长33.156%，主要原因是</w:t>
      </w:r>
      <w:r>
        <w:rPr>
          <w:rFonts w:hint="eastAsia" w:ascii="Times New Roman" w:hAnsi="Times New Roman" w:eastAsia="仿宋_GB2312" w:cs="仿宋_GB2312"/>
          <w:sz w:val="30"/>
          <w:szCs w:val="30"/>
        </w:rPr>
        <w:t>人员增加，导致收入、支出增加</w:t>
      </w:r>
      <w:r>
        <w:rPr>
          <w:rFonts w:ascii="Times New Roman" w:eastAsia="仿宋_GB2312"/>
          <w:sz w:val="30"/>
          <w:szCs w:val="30"/>
        </w:rPr>
        <w:t>。</w:t>
      </w:r>
    </w:p>
    <w:p>
      <w:pPr>
        <w:widowControl/>
        <w:spacing w:line="360" w:lineRule="auto"/>
        <w:ind w:firstLine="600" w:firstLineChars="200"/>
        <w:rPr>
          <w:rFonts w:ascii="Times New Roman" w:eastAsia="仿宋_GB2312"/>
          <w:sz w:val="30"/>
          <w:szCs w:val="30"/>
        </w:rPr>
      </w:pPr>
      <w:r>
        <w:rPr>
          <w:rFonts w:ascii="Times New Roman" w:eastAsia="仿宋_GB2312"/>
          <w:sz w:val="30"/>
          <w:szCs w:val="30"/>
        </w:rPr>
        <w:t>收入包括：一般公共预算财政拨款收入1,159,246.94元。</w:t>
      </w:r>
    </w:p>
    <w:p>
      <w:pPr>
        <w:widowControl/>
        <w:spacing w:line="360" w:lineRule="auto"/>
        <w:ind w:firstLine="600" w:firstLineChars="200"/>
        <w:rPr>
          <w:rFonts w:ascii="Times New Roman" w:eastAsia="仿宋_GB2312"/>
          <w:sz w:val="30"/>
          <w:szCs w:val="30"/>
        </w:rPr>
      </w:pPr>
      <w:r>
        <w:rPr>
          <w:rFonts w:ascii="Times New Roman" w:eastAsia="仿宋_GB2312"/>
          <w:sz w:val="30"/>
          <w:szCs w:val="30"/>
        </w:rPr>
        <w:t>支出包括：一般公共服务支出994,136.52元、社会保障和就业支出116,548.32元、卫生健康支出48,562.10元。</w:t>
      </w:r>
    </w:p>
    <w:p>
      <w:pPr>
        <w:widowControl/>
        <w:spacing w:line="360" w:lineRule="auto"/>
        <w:ind w:firstLine="602" w:firstLineChars="200"/>
        <w:outlineLvl w:val="1"/>
        <w:rPr>
          <w:rFonts w:ascii="宋体" w:eastAsia="黑体"/>
          <w:sz w:val="30"/>
          <w:szCs w:val="30"/>
        </w:rPr>
      </w:pPr>
      <w:r>
        <w:rPr>
          <w:rFonts w:ascii="宋体" w:eastAsia="黑体"/>
          <w:b/>
          <w:sz w:val="30"/>
          <w:szCs w:val="30"/>
        </w:rPr>
        <w:t>二、收入决算情况说明</w:t>
      </w:r>
    </w:p>
    <w:p>
      <w:pPr>
        <w:widowControl/>
        <w:spacing w:line="360" w:lineRule="auto"/>
        <w:ind w:firstLine="600" w:firstLineChars="200"/>
        <w:rPr>
          <w:rFonts w:ascii="Times New Roman" w:eastAsia="仿宋_GB2312"/>
          <w:sz w:val="30"/>
          <w:szCs w:val="30"/>
        </w:rPr>
      </w:pPr>
      <w:r>
        <w:rPr>
          <w:rFonts w:ascii="Times New Roman" w:eastAsia="仿宋_GB2312"/>
          <w:sz w:val="30"/>
          <w:szCs w:val="30"/>
        </w:rPr>
        <w:t>天津市南开区纪委监委综合服务中心2024年度本年收入合计1,159,246.94元，与2023年度相比增加288,653.23元，主要原因是</w:t>
      </w:r>
      <w:r>
        <w:rPr>
          <w:rFonts w:hint="eastAsia" w:ascii="Times New Roman" w:hAnsi="Times New Roman" w:eastAsia="仿宋_GB2312" w:cs="仿宋_GB2312"/>
          <w:sz w:val="30"/>
          <w:szCs w:val="30"/>
        </w:rPr>
        <w:t>人员增加，导致收入增加</w:t>
      </w:r>
      <w:r>
        <w:rPr>
          <w:rFonts w:ascii="Times New Roman" w:eastAsia="仿宋_GB2312"/>
          <w:sz w:val="30"/>
          <w:szCs w:val="30"/>
        </w:rPr>
        <w:t>。其中：</w:t>
      </w:r>
    </w:p>
    <w:p>
      <w:pPr>
        <w:widowControl/>
        <w:spacing w:line="360" w:lineRule="auto"/>
        <w:ind w:firstLine="600" w:firstLineChars="200"/>
        <w:rPr>
          <w:rFonts w:ascii="Times New Roman" w:eastAsia="仿宋_GB2312"/>
          <w:sz w:val="30"/>
          <w:szCs w:val="30"/>
        </w:rPr>
      </w:pPr>
      <w:r>
        <w:rPr>
          <w:rFonts w:ascii="Times New Roman" w:eastAsia="仿宋_GB2312"/>
          <w:sz w:val="30"/>
          <w:szCs w:val="30"/>
        </w:rPr>
        <w:t>一般公共预算财政拨款收入1,159,246.94元，占100.000%。</w:t>
      </w:r>
    </w:p>
    <w:p>
      <w:pPr>
        <w:widowControl/>
        <w:spacing w:line="360" w:lineRule="auto"/>
        <w:ind w:firstLine="602" w:firstLineChars="200"/>
        <w:outlineLvl w:val="1"/>
        <w:rPr>
          <w:rFonts w:ascii="宋体" w:eastAsia="黑体"/>
          <w:sz w:val="30"/>
          <w:szCs w:val="30"/>
        </w:rPr>
      </w:pPr>
      <w:r>
        <w:rPr>
          <w:rFonts w:ascii="宋体" w:eastAsia="黑体"/>
          <w:b/>
          <w:sz w:val="30"/>
          <w:szCs w:val="30"/>
        </w:rPr>
        <w:t>三、支出决算情况说明</w:t>
      </w:r>
    </w:p>
    <w:p>
      <w:pPr>
        <w:widowControl/>
        <w:spacing w:line="360" w:lineRule="auto"/>
        <w:ind w:firstLine="600" w:firstLineChars="200"/>
        <w:rPr>
          <w:rFonts w:ascii="Times New Roman" w:eastAsia="仿宋_GB2312"/>
          <w:sz w:val="30"/>
          <w:szCs w:val="30"/>
        </w:rPr>
      </w:pPr>
      <w:r>
        <w:rPr>
          <w:rFonts w:ascii="Times New Roman" w:eastAsia="仿宋_GB2312"/>
          <w:sz w:val="30"/>
          <w:szCs w:val="30"/>
        </w:rPr>
        <w:t>天津市南开区纪委监委综合服务中心2024年度本年支出合计1,159,246.94元，与2023年度相比增加288,656.27元，主要原因是</w:t>
      </w:r>
      <w:r>
        <w:rPr>
          <w:rFonts w:hint="eastAsia" w:ascii="Times New Roman" w:hAnsi="Times New Roman" w:eastAsia="仿宋_GB2312" w:cs="仿宋_GB2312"/>
          <w:sz w:val="30"/>
          <w:szCs w:val="30"/>
        </w:rPr>
        <w:t>人员增加，导致支出增加</w:t>
      </w:r>
      <w:r>
        <w:rPr>
          <w:rFonts w:ascii="Times New Roman" w:eastAsia="仿宋_GB2312"/>
          <w:sz w:val="30"/>
          <w:szCs w:val="30"/>
        </w:rPr>
        <w:t>。其中：</w:t>
      </w:r>
    </w:p>
    <w:p>
      <w:pPr>
        <w:widowControl/>
        <w:spacing w:line="360" w:lineRule="auto"/>
        <w:ind w:firstLine="600" w:firstLineChars="200"/>
        <w:rPr>
          <w:rFonts w:ascii="Times New Roman" w:eastAsia="仿宋_GB2312"/>
          <w:sz w:val="30"/>
          <w:szCs w:val="30"/>
        </w:rPr>
      </w:pPr>
      <w:r>
        <w:rPr>
          <w:rFonts w:ascii="Times New Roman" w:eastAsia="仿宋_GB2312"/>
          <w:sz w:val="30"/>
          <w:szCs w:val="30"/>
        </w:rPr>
        <w:t>基本支出1,072,120.73元，占92.484%；项目支出87,126.21元，占7.516%。</w:t>
      </w:r>
    </w:p>
    <w:p>
      <w:pPr>
        <w:widowControl/>
        <w:spacing w:line="360" w:lineRule="auto"/>
        <w:ind w:firstLine="602" w:firstLineChars="200"/>
        <w:outlineLvl w:val="1"/>
        <w:rPr>
          <w:rFonts w:ascii="宋体" w:eastAsia="黑体"/>
          <w:sz w:val="30"/>
          <w:szCs w:val="30"/>
        </w:rPr>
      </w:pPr>
      <w:r>
        <w:rPr>
          <w:rFonts w:ascii="宋体" w:eastAsia="黑体"/>
          <w:b/>
          <w:sz w:val="30"/>
          <w:szCs w:val="30"/>
        </w:rPr>
        <w:t>四、财政拨款收支决算总体情况说明</w:t>
      </w:r>
    </w:p>
    <w:p>
      <w:pPr>
        <w:widowControl/>
        <w:spacing w:line="360" w:lineRule="auto"/>
        <w:ind w:firstLine="600" w:firstLineChars="200"/>
        <w:rPr>
          <w:rFonts w:ascii="Times New Roman" w:eastAsia="仿宋_GB2312"/>
          <w:sz w:val="30"/>
          <w:szCs w:val="30"/>
        </w:rPr>
      </w:pPr>
      <w:r>
        <w:rPr>
          <w:rFonts w:ascii="Times New Roman" w:eastAsia="仿宋_GB2312"/>
          <w:sz w:val="30"/>
          <w:szCs w:val="30"/>
        </w:rPr>
        <w:t>天津市南开区纪委监委综合服务中心2024年度财政拨款收入、支出决算总计1,159,246.94元。与2023年度相比，财政拨款收、支总计各增加288,656.27元，增长33.156%，主要原因是</w:t>
      </w:r>
      <w:r>
        <w:rPr>
          <w:rFonts w:hint="eastAsia" w:ascii="Times New Roman" w:hAnsi="Times New Roman" w:eastAsia="仿宋_GB2312" w:cs="仿宋_GB2312"/>
          <w:sz w:val="30"/>
          <w:szCs w:val="30"/>
        </w:rPr>
        <w:t>人员增加，导致收、支增加</w:t>
      </w:r>
      <w:r>
        <w:rPr>
          <w:rFonts w:ascii="Times New Roman" w:eastAsia="仿宋_GB2312"/>
          <w:sz w:val="30"/>
          <w:szCs w:val="30"/>
        </w:rPr>
        <w:t>。</w:t>
      </w:r>
    </w:p>
    <w:p>
      <w:pPr>
        <w:widowControl/>
        <w:spacing w:line="360" w:lineRule="auto"/>
        <w:ind w:firstLine="600" w:firstLineChars="200"/>
        <w:outlineLvl w:val="1"/>
        <w:rPr>
          <w:rFonts w:ascii="Times New Roman" w:eastAsia="仿宋_GB2312"/>
          <w:sz w:val="30"/>
          <w:szCs w:val="30"/>
        </w:rPr>
      </w:pPr>
      <w:r>
        <w:rPr>
          <w:rFonts w:ascii="Times New Roman" w:eastAsia="仿宋_GB2312"/>
          <w:sz w:val="30"/>
          <w:szCs w:val="30"/>
        </w:rPr>
        <w:t>收入包括：一般公共预算财政拨款1,159,246.94元。</w:t>
      </w:r>
    </w:p>
    <w:p>
      <w:pPr>
        <w:widowControl/>
        <w:spacing w:line="360" w:lineRule="auto"/>
        <w:ind w:firstLine="600" w:firstLineChars="200"/>
        <w:rPr>
          <w:rFonts w:ascii="Times New Roman" w:eastAsia="仿宋_GB2312"/>
          <w:sz w:val="30"/>
          <w:szCs w:val="30"/>
        </w:rPr>
      </w:pPr>
      <w:r>
        <w:rPr>
          <w:rFonts w:ascii="Times New Roman" w:eastAsia="仿宋_GB2312"/>
          <w:sz w:val="30"/>
          <w:szCs w:val="30"/>
        </w:rPr>
        <w:t>支出包括：一般公共服务支出994,136.52元、社会保障和就业支出116,548.32元、卫生健康支出48,562.10元。</w:t>
      </w:r>
    </w:p>
    <w:p>
      <w:pPr>
        <w:widowControl/>
        <w:spacing w:line="360" w:lineRule="auto"/>
        <w:ind w:firstLine="602" w:firstLineChars="200"/>
        <w:outlineLvl w:val="1"/>
        <w:rPr>
          <w:rFonts w:ascii="宋体" w:eastAsia="黑体"/>
          <w:sz w:val="30"/>
          <w:szCs w:val="30"/>
        </w:rPr>
      </w:pPr>
      <w:r>
        <w:rPr>
          <w:rFonts w:ascii="宋体" w:eastAsia="黑体"/>
          <w:b/>
          <w:sz w:val="30"/>
          <w:szCs w:val="30"/>
        </w:rPr>
        <w:t>五、一般公共预算财政拨款支出决算情况说明</w:t>
      </w:r>
    </w:p>
    <w:p>
      <w:pPr>
        <w:widowControl/>
        <w:spacing w:line="360" w:lineRule="auto"/>
        <w:ind w:firstLine="602" w:firstLineChars="200"/>
        <w:rPr>
          <w:rFonts w:ascii="楷体" w:eastAsia="楷体"/>
          <w:sz w:val="30"/>
          <w:szCs w:val="30"/>
        </w:rPr>
      </w:pPr>
      <w:r>
        <w:rPr>
          <w:rFonts w:ascii="楷体" w:eastAsia="楷体"/>
          <w:b/>
          <w:sz w:val="30"/>
          <w:szCs w:val="30"/>
        </w:rPr>
        <w:t>（一）总体情况</w:t>
      </w:r>
    </w:p>
    <w:p>
      <w:pPr>
        <w:widowControl/>
        <w:spacing w:line="360" w:lineRule="auto"/>
        <w:ind w:firstLine="600" w:firstLineChars="200"/>
        <w:rPr>
          <w:rFonts w:ascii="Times New Roman" w:eastAsia="仿宋_GB2312"/>
          <w:sz w:val="30"/>
          <w:szCs w:val="30"/>
        </w:rPr>
      </w:pPr>
      <w:r>
        <w:rPr>
          <w:rFonts w:ascii="Times New Roman" w:eastAsia="仿宋_GB2312"/>
          <w:sz w:val="30"/>
          <w:szCs w:val="30"/>
        </w:rPr>
        <w:t>天津市南开区纪委监委综合服务中心2024年度部门决算一般公共预算财政拨款支出合计1,159,246.94元，占本年支出合计的100.000%。与2023年度相比，一般公共预算财政拨款支出增加288,656.27元，增长33.156%，主要原因是</w:t>
      </w:r>
      <w:r>
        <w:rPr>
          <w:rFonts w:hint="eastAsia" w:ascii="Times New Roman" w:hAnsi="Times New Roman" w:eastAsia="仿宋_GB2312" w:cs="仿宋_GB2312"/>
          <w:sz w:val="30"/>
          <w:szCs w:val="30"/>
        </w:rPr>
        <w:t>人员增加，导致支出增加</w:t>
      </w:r>
      <w:r>
        <w:rPr>
          <w:rFonts w:ascii="Times New Roman" w:eastAsia="仿宋_GB2312"/>
          <w:sz w:val="30"/>
          <w:szCs w:val="30"/>
        </w:rPr>
        <w:t>。</w:t>
      </w:r>
    </w:p>
    <w:p>
      <w:pPr>
        <w:widowControl/>
        <w:spacing w:line="360" w:lineRule="auto"/>
        <w:ind w:firstLine="602" w:firstLineChars="200"/>
        <w:rPr>
          <w:rFonts w:ascii="楷体" w:eastAsia="楷体"/>
          <w:sz w:val="30"/>
          <w:szCs w:val="30"/>
        </w:rPr>
      </w:pPr>
      <w:r>
        <w:rPr>
          <w:rFonts w:ascii="楷体" w:eastAsia="楷体"/>
          <w:b/>
          <w:sz w:val="30"/>
          <w:szCs w:val="30"/>
        </w:rPr>
        <w:t>（二）支出结构情况</w:t>
      </w:r>
    </w:p>
    <w:p>
      <w:pPr>
        <w:widowControl/>
        <w:spacing w:line="360" w:lineRule="auto"/>
        <w:ind w:firstLine="600" w:firstLineChars="200"/>
        <w:rPr>
          <w:rFonts w:ascii="Times New Roman" w:eastAsia="仿宋_GB2312"/>
          <w:sz w:val="30"/>
          <w:szCs w:val="30"/>
        </w:rPr>
      </w:pPr>
      <w:r>
        <w:rPr>
          <w:rFonts w:ascii="Times New Roman" w:eastAsia="仿宋_GB2312"/>
          <w:sz w:val="30"/>
          <w:szCs w:val="30"/>
        </w:rPr>
        <w:t>2024年度一般公共预算财政拨款支出1,159,246.94元，主要用于以下方面：一般公共服务支出（类）994,136.52元，占85.757%；社会保障和就业支出（类）116,548.32元，占10.054%；卫生健康支出（类）48,562.10元，占4.189%。</w:t>
      </w:r>
    </w:p>
    <w:p>
      <w:pPr>
        <w:widowControl/>
        <w:spacing w:line="360" w:lineRule="auto"/>
        <w:ind w:firstLine="602" w:firstLineChars="200"/>
        <w:rPr>
          <w:rFonts w:ascii="楷体" w:eastAsia="楷体"/>
          <w:sz w:val="30"/>
          <w:szCs w:val="30"/>
        </w:rPr>
      </w:pPr>
      <w:r>
        <w:rPr>
          <w:rFonts w:ascii="楷体" w:eastAsia="楷体"/>
          <w:b/>
          <w:sz w:val="30"/>
          <w:szCs w:val="30"/>
        </w:rPr>
        <w:t>（三）具体情况</w:t>
      </w:r>
    </w:p>
    <w:p>
      <w:pPr>
        <w:widowControl/>
        <w:spacing w:line="360" w:lineRule="auto"/>
        <w:ind w:firstLine="600" w:firstLineChars="200"/>
        <w:rPr>
          <w:rFonts w:ascii="Times New Roman" w:eastAsia="仿宋_GB2312"/>
          <w:sz w:val="30"/>
          <w:szCs w:val="30"/>
        </w:rPr>
      </w:pPr>
      <w:r>
        <w:rPr>
          <w:rFonts w:ascii="Times New Roman" w:eastAsia="仿宋_GB2312"/>
          <w:sz w:val="30"/>
          <w:szCs w:val="30"/>
        </w:rPr>
        <w:t>2024年度一般公共预算财政拨款支出年初预算为982,850.94元，支出决算为1,159,246.94元，完成年初预算的117.947%。其中： </w:t>
      </w:r>
    </w:p>
    <w:p>
      <w:pPr>
        <w:widowControl/>
        <w:spacing w:line="360" w:lineRule="auto"/>
        <w:ind w:firstLine="600" w:firstLineChars="200"/>
        <w:rPr>
          <w:rFonts w:ascii="Times New Roman" w:eastAsia="仿宋_GB2312"/>
          <w:sz w:val="30"/>
          <w:szCs w:val="30"/>
        </w:rPr>
      </w:pPr>
      <w:r>
        <w:rPr>
          <w:rFonts w:ascii="Times New Roman" w:eastAsia="仿宋_GB2312"/>
          <w:sz w:val="30"/>
          <w:szCs w:val="30"/>
        </w:rPr>
        <w:t>1.​一般公共服务支出(类)纪检监察事务(款)事业运行(项)年初预算为</w:t>
      </w:r>
      <w:r>
        <w:rPr>
          <w:rFonts w:hint="eastAsia" w:ascii="Times New Roman" w:eastAsia="仿宋_GB2312"/>
          <w:sz w:val="30"/>
          <w:szCs w:val="30"/>
        </w:rPr>
        <w:t>762,550.14</w:t>
      </w:r>
      <w:r>
        <w:rPr>
          <w:rFonts w:ascii="Times New Roman" w:eastAsia="仿宋_GB2312"/>
          <w:sz w:val="30"/>
          <w:szCs w:val="30"/>
        </w:rPr>
        <w:t>元，支出决算为907,010.31元，完成年初预算的</w:t>
      </w:r>
      <w:r>
        <w:rPr>
          <w:rFonts w:hint="eastAsia" w:ascii="Times New Roman" w:eastAsia="仿宋_GB2312"/>
          <w:sz w:val="30"/>
          <w:szCs w:val="30"/>
        </w:rPr>
        <w:t>118.944</w:t>
      </w:r>
      <w:r>
        <w:rPr>
          <w:rFonts w:ascii="Times New Roman" w:eastAsia="仿宋_GB2312"/>
          <w:sz w:val="30"/>
          <w:szCs w:val="30"/>
        </w:rPr>
        <w:t>%，决算数大于年初预算数的主要原因是：</w:t>
      </w:r>
      <w:r>
        <w:rPr>
          <w:rFonts w:hint="eastAsia" w:ascii="Times New Roman" w:hAnsi="Times New Roman" w:eastAsia="仿宋_GB2312" w:cs="仿宋_GB2312"/>
          <w:sz w:val="30"/>
          <w:szCs w:val="30"/>
        </w:rPr>
        <w:t>人员增加，导致支出增加</w:t>
      </w:r>
      <w:r>
        <w:rPr>
          <w:rFonts w:ascii="Times New Roman" w:eastAsia="仿宋_GB2312"/>
          <w:sz w:val="30"/>
          <w:szCs w:val="30"/>
        </w:rPr>
        <w:t>。</w:t>
      </w:r>
    </w:p>
    <w:p>
      <w:pPr>
        <w:widowControl/>
        <w:spacing w:line="360" w:lineRule="auto"/>
        <w:ind w:firstLine="600" w:firstLineChars="200"/>
        <w:rPr>
          <w:rFonts w:ascii="Times New Roman" w:eastAsia="仿宋_GB2312"/>
          <w:sz w:val="30"/>
          <w:szCs w:val="30"/>
        </w:rPr>
      </w:pPr>
      <w:r>
        <w:rPr>
          <w:rFonts w:ascii="Times New Roman" w:eastAsia="仿宋_GB2312"/>
          <w:sz w:val="30"/>
          <w:szCs w:val="30"/>
        </w:rPr>
        <w:t>2.​一般公共服务支出(类)纪检监察事务(款)其他纪检监察事务支出(项)年初预算为</w:t>
      </w:r>
      <w:r>
        <w:rPr>
          <w:rFonts w:hint="eastAsia" w:ascii="Times New Roman" w:eastAsia="仿宋_GB2312"/>
          <w:sz w:val="30"/>
          <w:szCs w:val="30"/>
        </w:rPr>
        <w:t>87,150.00</w:t>
      </w:r>
      <w:r>
        <w:rPr>
          <w:rFonts w:ascii="Times New Roman" w:eastAsia="仿宋_GB2312"/>
          <w:sz w:val="30"/>
          <w:szCs w:val="30"/>
        </w:rPr>
        <w:t>元，支出决算为87,126.21元，完成年初预算的</w:t>
      </w:r>
      <w:r>
        <w:rPr>
          <w:rFonts w:hint="eastAsia" w:ascii="Times New Roman" w:eastAsia="仿宋_GB2312"/>
          <w:sz w:val="30"/>
          <w:szCs w:val="30"/>
        </w:rPr>
        <w:t>99.973</w:t>
      </w:r>
      <w:r>
        <w:rPr>
          <w:rFonts w:ascii="Times New Roman" w:eastAsia="仿宋_GB2312"/>
          <w:sz w:val="30"/>
          <w:szCs w:val="30"/>
        </w:rPr>
        <w:t>%，决算数</w:t>
      </w:r>
      <w:r>
        <w:rPr>
          <w:rFonts w:hint="eastAsia" w:ascii="Times New Roman" w:eastAsia="仿宋_GB2312"/>
          <w:sz w:val="30"/>
          <w:szCs w:val="30"/>
        </w:rPr>
        <w:t>小</w:t>
      </w:r>
      <w:r>
        <w:rPr>
          <w:rFonts w:ascii="Times New Roman" w:eastAsia="仿宋_GB2312"/>
          <w:sz w:val="30"/>
          <w:szCs w:val="30"/>
        </w:rPr>
        <w:t>于年初预算数的主要原因是：</w:t>
      </w:r>
      <w:r>
        <w:rPr>
          <w:rFonts w:hint="eastAsia" w:ascii="Times New Roman" w:eastAsia="仿宋_GB2312"/>
          <w:sz w:val="30"/>
          <w:szCs w:val="30"/>
        </w:rPr>
        <w:t>厉行节约，缩减开支</w:t>
      </w:r>
      <w:r>
        <w:rPr>
          <w:rFonts w:ascii="Times New Roman" w:eastAsia="仿宋_GB2312"/>
          <w:sz w:val="30"/>
          <w:szCs w:val="30"/>
        </w:rPr>
        <w:t>。</w:t>
      </w:r>
    </w:p>
    <w:p>
      <w:pPr>
        <w:widowControl/>
        <w:spacing w:line="360" w:lineRule="auto"/>
        <w:ind w:firstLine="600" w:firstLineChars="200"/>
        <w:rPr>
          <w:rFonts w:ascii="Times New Roman" w:eastAsia="仿宋_GB2312"/>
          <w:sz w:val="30"/>
          <w:szCs w:val="30"/>
        </w:rPr>
      </w:pPr>
      <w:r>
        <w:rPr>
          <w:rFonts w:ascii="Times New Roman" w:eastAsia="仿宋_GB2312"/>
          <w:sz w:val="30"/>
          <w:szCs w:val="30"/>
        </w:rPr>
        <w:t>3.​社会保障和就业支出(类)行政事业单位养老支出(款)机关事业单位基本养老保险缴费支出(项)年初预算为</w:t>
      </w:r>
      <w:r>
        <w:rPr>
          <w:rFonts w:hint="eastAsia" w:ascii="Times New Roman" w:eastAsia="仿宋_GB2312"/>
          <w:sz w:val="30"/>
          <w:szCs w:val="30"/>
        </w:rPr>
        <w:t>62,659.20</w:t>
      </w:r>
      <w:r>
        <w:rPr>
          <w:rFonts w:ascii="Times New Roman" w:eastAsia="仿宋_GB2312"/>
          <w:sz w:val="30"/>
          <w:szCs w:val="30"/>
        </w:rPr>
        <w:t>元，支出决算为77,698.88元，完成年初预算的</w:t>
      </w:r>
      <w:r>
        <w:rPr>
          <w:rFonts w:hint="eastAsia" w:ascii="Times New Roman" w:eastAsia="仿宋_GB2312"/>
          <w:sz w:val="30"/>
          <w:szCs w:val="30"/>
        </w:rPr>
        <w:t>124.002</w:t>
      </w:r>
      <w:r>
        <w:rPr>
          <w:rFonts w:ascii="Times New Roman" w:eastAsia="仿宋_GB2312"/>
          <w:sz w:val="30"/>
          <w:szCs w:val="30"/>
        </w:rPr>
        <w:t>%，决算数</w:t>
      </w:r>
      <w:r>
        <w:rPr>
          <w:rFonts w:hint="eastAsia" w:ascii="Times New Roman" w:eastAsia="仿宋_GB2312"/>
          <w:sz w:val="30"/>
          <w:szCs w:val="30"/>
        </w:rPr>
        <w:t>大</w:t>
      </w:r>
      <w:r>
        <w:rPr>
          <w:rFonts w:ascii="Times New Roman" w:eastAsia="仿宋_GB2312"/>
          <w:sz w:val="30"/>
          <w:szCs w:val="30"/>
        </w:rPr>
        <w:t>于年初预算数的主要原因是：</w:t>
      </w:r>
      <w:r>
        <w:rPr>
          <w:rFonts w:hint="eastAsia" w:ascii="Times New Roman" w:eastAsia="仿宋_GB2312"/>
          <w:sz w:val="30"/>
          <w:szCs w:val="30"/>
        </w:rPr>
        <w:t>人员增加，导致支出增加</w:t>
      </w:r>
      <w:r>
        <w:rPr>
          <w:rFonts w:ascii="Times New Roman" w:eastAsia="仿宋_GB2312"/>
          <w:sz w:val="30"/>
          <w:szCs w:val="30"/>
        </w:rPr>
        <w:t>。</w:t>
      </w:r>
    </w:p>
    <w:p>
      <w:pPr>
        <w:widowControl/>
        <w:spacing w:line="360" w:lineRule="auto"/>
        <w:ind w:firstLine="600" w:firstLineChars="200"/>
        <w:rPr>
          <w:rFonts w:ascii="Times New Roman" w:eastAsia="仿宋_GB2312"/>
          <w:sz w:val="30"/>
          <w:szCs w:val="30"/>
        </w:rPr>
      </w:pPr>
      <w:r>
        <w:rPr>
          <w:rFonts w:ascii="Times New Roman" w:eastAsia="仿宋_GB2312"/>
          <w:sz w:val="30"/>
          <w:szCs w:val="30"/>
        </w:rPr>
        <w:t>4.​社会保障和就业支出(类)行政事业单位养老支出(款)机关事业单位职业年金缴费支出(项)年初预算为</w:t>
      </w:r>
      <w:r>
        <w:rPr>
          <w:rFonts w:hint="eastAsia" w:ascii="Times New Roman" w:eastAsia="仿宋_GB2312"/>
          <w:sz w:val="30"/>
          <w:szCs w:val="30"/>
        </w:rPr>
        <w:t>31,329.60</w:t>
      </w:r>
      <w:r>
        <w:rPr>
          <w:rFonts w:ascii="Times New Roman" w:eastAsia="仿宋_GB2312"/>
          <w:sz w:val="30"/>
          <w:szCs w:val="30"/>
        </w:rPr>
        <w:t>元，支出决算为38,849.44元，完成年初预算的</w:t>
      </w:r>
      <w:r>
        <w:rPr>
          <w:rFonts w:hint="eastAsia" w:ascii="Times New Roman" w:eastAsia="仿宋_GB2312"/>
          <w:sz w:val="30"/>
          <w:szCs w:val="30"/>
        </w:rPr>
        <w:t>124.002</w:t>
      </w:r>
      <w:r>
        <w:rPr>
          <w:rFonts w:ascii="Times New Roman" w:eastAsia="仿宋_GB2312"/>
          <w:sz w:val="30"/>
          <w:szCs w:val="30"/>
        </w:rPr>
        <w:t>%，决算数</w:t>
      </w:r>
      <w:r>
        <w:rPr>
          <w:rFonts w:hint="eastAsia" w:ascii="Times New Roman" w:eastAsia="仿宋_GB2312"/>
          <w:sz w:val="30"/>
          <w:szCs w:val="30"/>
        </w:rPr>
        <w:t>大</w:t>
      </w:r>
      <w:r>
        <w:rPr>
          <w:rFonts w:ascii="Times New Roman" w:eastAsia="仿宋_GB2312"/>
          <w:sz w:val="30"/>
          <w:szCs w:val="30"/>
        </w:rPr>
        <w:t>于年初预算数的主要原因是：</w:t>
      </w:r>
      <w:r>
        <w:rPr>
          <w:rFonts w:hint="eastAsia" w:ascii="Times New Roman" w:eastAsia="仿宋_GB2312"/>
          <w:sz w:val="30"/>
          <w:szCs w:val="30"/>
        </w:rPr>
        <w:t>人员增加，导致支出增加</w:t>
      </w:r>
      <w:r>
        <w:rPr>
          <w:rFonts w:ascii="Times New Roman" w:eastAsia="仿宋_GB2312"/>
          <w:sz w:val="30"/>
          <w:szCs w:val="30"/>
        </w:rPr>
        <w:t>。</w:t>
      </w:r>
    </w:p>
    <w:p>
      <w:pPr>
        <w:widowControl/>
        <w:spacing w:line="360" w:lineRule="auto"/>
        <w:ind w:firstLine="600" w:firstLineChars="200"/>
        <w:rPr>
          <w:rFonts w:ascii="Times New Roman" w:eastAsia="仿宋_GB2312"/>
          <w:sz w:val="30"/>
          <w:szCs w:val="30"/>
        </w:rPr>
      </w:pPr>
      <w:r>
        <w:rPr>
          <w:rFonts w:ascii="Times New Roman" w:eastAsia="仿宋_GB2312"/>
          <w:sz w:val="30"/>
          <w:szCs w:val="30"/>
        </w:rPr>
        <w:t>5.​卫生健康支出(类)行政事业单位医疗(款)事业单位医疗(项)年初预算为</w:t>
      </w:r>
      <w:r>
        <w:rPr>
          <w:rFonts w:hint="eastAsia" w:ascii="Times New Roman" w:eastAsia="仿宋_GB2312"/>
          <w:sz w:val="30"/>
          <w:szCs w:val="30"/>
        </w:rPr>
        <w:t>39,162.00</w:t>
      </w:r>
      <w:r>
        <w:rPr>
          <w:rFonts w:ascii="Times New Roman" w:eastAsia="仿宋_GB2312"/>
          <w:sz w:val="30"/>
          <w:szCs w:val="30"/>
        </w:rPr>
        <w:t>元，支出决算为48,562.10元，完成年初预算的</w:t>
      </w:r>
      <w:r>
        <w:rPr>
          <w:rFonts w:hint="eastAsia" w:ascii="Times New Roman" w:eastAsia="仿宋_GB2312"/>
          <w:sz w:val="30"/>
          <w:szCs w:val="30"/>
        </w:rPr>
        <w:t>124.003</w:t>
      </w:r>
      <w:r>
        <w:rPr>
          <w:rFonts w:ascii="Times New Roman" w:eastAsia="仿宋_GB2312"/>
          <w:sz w:val="30"/>
          <w:szCs w:val="30"/>
        </w:rPr>
        <w:t>%，决算数</w:t>
      </w:r>
      <w:r>
        <w:rPr>
          <w:rFonts w:hint="eastAsia" w:ascii="Times New Roman" w:eastAsia="仿宋_GB2312"/>
          <w:sz w:val="30"/>
          <w:szCs w:val="30"/>
        </w:rPr>
        <w:t>大</w:t>
      </w:r>
      <w:r>
        <w:rPr>
          <w:rFonts w:ascii="Times New Roman" w:eastAsia="仿宋_GB2312"/>
          <w:sz w:val="30"/>
          <w:szCs w:val="30"/>
        </w:rPr>
        <w:t>于年初预算数的主要原因是：</w:t>
      </w:r>
      <w:r>
        <w:rPr>
          <w:rFonts w:hint="eastAsia" w:ascii="Times New Roman" w:hAnsi="Times New Roman" w:eastAsia="仿宋_GB2312" w:cs="仿宋_GB2312"/>
          <w:sz w:val="30"/>
          <w:szCs w:val="30"/>
        </w:rPr>
        <w:t>人员增加，导致支出增加</w:t>
      </w:r>
      <w:r>
        <w:rPr>
          <w:rFonts w:ascii="Times New Roman" w:eastAsia="仿宋_GB2312"/>
          <w:sz w:val="30"/>
          <w:szCs w:val="30"/>
        </w:rPr>
        <w:t>。</w:t>
      </w:r>
    </w:p>
    <w:p>
      <w:pPr>
        <w:widowControl/>
        <w:spacing w:line="360" w:lineRule="auto"/>
        <w:ind w:firstLine="602" w:firstLineChars="200"/>
        <w:outlineLvl w:val="1"/>
        <w:rPr>
          <w:rFonts w:ascii="宋体" w:eastAsia="黑体"/>
          <w:sz w:val="30"/>
          <w:szCs w:val="30"/>
        </w:rPr>
      </w:pPr>
      <w:r>
        <w:rPr>
          <w:rFonts w:ascii="宋体" w:eastAsia="黑体"/>
          <w:b/>
          <w:sz w:val="30"/>
          <w:szCs w:val="30"/>
        </w:rPr>
        <w:t>六、一般公共预算财政拨款基本支出决算情况说明</w:t>
      </w:r>
    </w:p>
    <w:p>
      <w:pPr>
        <w:widowControl/>
        <w:spacing w:line="360" w:lineRule="auto"/>
        <w:ind w:firstLine="600" w:firstLineChars="200"/>
        <w:rPr>
          <w:rFonts w:ascii="Times New Roman" w:eastAsia="仿宋_GB2312"/>
          <w:sz w:val="30"/>
          <w:szCs w:val="30"/>
        </w:rPr>
      </w:pPr>
      <w:r>
        <w:rPr>
          <w:rFonts w:ascii="Times New Roman" w:eastAsia="仿宋_GB2312"/>
          <w:sz w:val="30"/>
          <w:szCs w:val="30"/>
        </w:rPr>
        <w:t>天津市南开区纪委监委综合服务中心2024年度部门决算一般公共预算财政拨款基本支出合计1,072,120.73元，与2023年度相比增加201,530.06元，主要原因是</w:t>
      </w:r>
      <w:r>
        <w:rPr>
          <w:rFonts w:hint="eastAsia" w:ascii="Times New Roman" w:hAnsi="Times New Roman" w:eastAsia="仿宋_GB2312" w:cs="仿宋_GB2312"/>
          <w:sz w:val="30"/>
          <w:szCs w:val="30"/>
        </w:rPr>
        <w:t>人员增加，导致支出增加</w:t>
      </w:r>
      <w:r>
        <w:rPr>
          <w:rFonts w:ascii="Times New Roman" w:eastAsia="仿宋_GB2312"/>
          <w:sz w:val="30"/>
          <w:szCs w:val="30"/>
        </w:rPr>
        <w:t>。其中：</w:t>
      </w:r>
    </w:p>
    <w:p>
      <w:pPr>
        <w:widowControl/>
        <w:spacing w:line="360" w:lineRule="auto"/>
        <w:ind w:firstLine="600" w:firstLineChars="200"/>
        <w:rPr>
          <w:rFonts w:ascii="Times New Roman" w:eastAsia="仿宋_GB2312"/>
          <w:sz w:val="30"/>
          <w:szCs w:val="30"/>
        </w:rPr>
      </w:pPr>
      <w:r>
        <w:rPr>
          <w:rFonts w:ascii="Times New Roman" w:eastAsia="仿宋_GB2312"/>
          <w:sz w:val="30"/>
          <w:szCs w:val="30"/>
        </w:rPr>
        <w:t>人员经费1,045,880.46元，主要包括基本工资、津贴补贴、绩效工资、机关事业单位基本养老保险缴费、职业年金缴费、职工基本医疗保险缴费、其他社会保障缴费、住房公积金和其他工资福利支出。</w:t>
      </w:r>
    </w:p>
    <w:p>
      <w:pPr>
        <w:widowControl/>
        <w:spacing w:line="360" w:lineRule="auto"/>
        <w:ind w:firstLine="600" w:firstLineChars="200"/>
        <w:rPr>
          <w:rFonts w:ascii="Times New Roman" w:eastAsia="仿宋_GB2312"/>
          <w:sz w:val="30"/>
          <w:szCs w:val="30"/>
        </w:rPr>
      </w:pPr>
      <w:r>
        <w:rPr>
          <w:rFonts w:ascii="Times New Roman" w:eastAsia="仿宋_GB2312"/>
          <w:sz w:val="30"/>
          <w:szCs w:val="30"/>
        </w:rPr>
        <w:t>公用经费26,240.27元，主要包括办公费、手续费、工会经费和福利费。</w:t>
      </w:r>
    </w:p>
    <w:p>
      <w:pPr>
        <w:widowControl/>
        <w:spacing w:line="360" w:lineRule="auto"/>
        <w:ind w:firstLine="602" w:firstLineChars="200"/>
        <w:outlineLvl w:val="1"/>
        <w:rPr>
          <w:rFonts w:ascii="宋体" w:eastAsia="黑体"/>
          <w:sz w:val="30"/>
          <w:szCs w:val="30"/>
        </w:rPr>
      </w:pPr>
      <w:r>
        <w:rPr>
          <w:rFonts w:ascii="宋体" w:eastAsia="黑体"/>
          <w:b/>
          <w:sz w:val="30"/>
          <w:szCs w:val="30"/>
        </w:rPr>
        <w:t>七、政府性基金预算财政拨款收支决算情况说明</w:t>
      </w:r>
    </w:p>
    <w:p>
      <w:pPr>
        <w:widowControl/>
        <w:spacing w:line="360" w:lineRule="auto"/>
        <w:ind w:firstLine="600" w:firstLineChars="200"/>
        <w:rPr>
          <w:rFonts w:ascii="Times New Roman" w:eastAsia="仿宋_GB2312"/>
          <w:sz w:val="30"/>
          <w:szCs w:val="30"/>
        </w:rPr>
      </w:pPr>
      <w:r>
        <w:rPr>
          <w:rFonts w:ascii="Times New Roman" w:eastAsia="仿宋_GB2312"/>
          <w:sz w:val="30"/>
          <w:szCs w:val="30"/>
        </w:rPr>
        <w:t>天津市南开区纪委监委综合服务中心2024年度无政府性基金预算财政拨款收入、支出和结转结余。</w:t>
      </w:r>
    </w:p>
    <w:p>
      <w:pPr>
        <w:widowControl/>
        <w:spacing w:line="360" w:lineRule="auto"/>
        <w:ind w:firstLine="602" w:firstLineChars="200"/>
        <w:outlineLvl w:val="1"/>
        <w:rPr>
          <w:rFonts w:ascii="宋体" w:eastAsia="黑体"/>
          <w:sz w:val="30"/>
          <w:szCs w:val="30"/>
        </w:rPr>
      </w:pPr>
      <w:r>
        <w:rPr>
          <w:rFonts w:ascii="宋体" w:eastAsia="黑体"/>
          <w:b/>
          <w:sz w:val="30"/>
          <w:szCs w:val="30"/>
        </w:rPr>
        <w:t>八、国有资本经营预算财政拨款收支决算情况说明</w:t>
      </w:r>
    </w:p>
    <w:p>
      <w:pPr>
        <w:widowControl/>
        <w:spacing w:line="360" w:lineRule="auto"/>
        <w:ind w:firstLine="600" w:firstLineChars="200"/>
        <w:rPr>
          <w:rFonts w:ascii="Times New Roman" w:eastAsia="仿宋_GB2312"/>
          <w:sz w:val="30"/>
          <w:szCs w:val="30"/>
        </w:rPr>
      </w:pPr>
      <w:r>
        <w:rPr>
          <w:rFonts w:ascii="Times New Roman" w:eastAsia="仿宋_GB2312"/>
          <w:sz w:val="30"/>
          <w:szCs w:val="30"/>
        </w:rPr>
        <w:t>天津市南开区纪委监委综合服务中心2024年度无国有资本经营预算财政拨款收入、支出和结转结余。</w:t>
      </w:r>
    </w:p>
    <w:p>
      <w:pPr>
        <w:widowControl/>
        <w:spacing w:line="360" w:lineRule="auto"/>
        <w:ind w:firstLine="602" w:firstLineChars="200"/>
        <w:outlineLvl w:val="1"/>
        <w:rPr>
          <w:rFonts w:ascii="宋体" w:eastAsia="黑体"/>
          <w:sz w:val="30"/>
          <w:szCs w:val="30"/>
        </w:rPr>
      </w:pPr>
      <w:r>
        <w:rPr>
          <w:rFonts w:ascii="宋体" w:eastAsia="黑体"/>
          <w:b/>
          <w:sz w:val="30"/>
          <w:szCs w:val="30"/>
        </w:rPr>
        <w:t>九、财政拨款“三公”经费支出决算情况说明</w:t>
      </w:r>
    </w:p>
    <w:p>
      <w:pPr>
        <w:widowControl/>
        <w:spacing w:line="360" w:lineRule="auto"/>
        <w:ind w:firstLine="602" w:firstLineChars="200"/>
        <w:rPr>
          <w:rFonts w:ascii="楷体" w:eastAsia="楷体"/>
          <w:sz w:val="30"/>
          <w:szCs w:val="30"/>
        </w:rPr>
      </w:pPr>
      <w:r>
        <w:rPr>
          <w:rFonts w:ascii="楷体" w:eastAsia="楷体"/>
          <w:b/>
          <w:sz w:val="30"/>
          <w:szCs w:val="30"/>
        </w:rPr>
        <w:t>（一）总体情况</w:t>
      </w:r>
    </w:p>
    <w:p>
      <w:pPr>
        <w:widowControl/>
        <w:spacing w:line="360" w:lineRule="auto"/>
        <w:ind w:firstLine="600" w:firstLineChars="200"/>
        <w:rPr>
          <w:rFonts w:ascii="Times New Roman" w:eastAsia="仿宋_GB2312"/>
          <w:sz w:val="30"/>
          <w:szCs w:val="30"/>
        </w:rPr>
      </w:pPr>
      <w:r>
        <w:rPr>
          <w:rFonts w:ascii="Times New Roman" w:eastAsia="仿宋_GB2312"/>
          <w:sz w:val="30"/>
          <w:szCs w:val="30"/>
        </w:rPr>
        <w:t>2024年财政拨款“三公”经费预算0.00元，支出决算0.00元，与2024年预算相比持平；支出决算较上年持平；决算数与预算数持平的主要原因是</w:t>
      </w:r>
      <w:r>
        <w:rPr>
          <w:rFonts w:hint="eastAsia" w:ascii="Times New Roman" w:hAnsi="Times New Roman" w:eastAsia="仿宋_GB2312" w:cs="仿宋_GB2312"/>
          <w:sz w:val="30"/>
          <w:szCs w:val="30"/>
        </w:rPr>
        <w:t>本年度未用财政拨款经费列支“三公”经费</w:t>
      </w:r>
      <w:r>
        <w:rPr>
          <w:rFonts w:ascii="Times New Roman" w:eastAsia="仿宋_GB2312"/>
          <w:sz w:val="30"/>
          <w:szCs w:val="30"/>
        </w:rPr>
        <w:t>；决算数较上年持平的主要原因是</w:t>
      </w:r>
      <w:r>
        <w:rPr>
          <w:rFonts w:hint="eastAsia" w:ascii="Times New Roman" w:hAnsi="Times New Roman" w:eastAsia="仿宋_GB2312" w:cs="仿宋_GB2312"/>
          <w:sz w:val="30"/>
          <w:szCs w:val="30"/>
        </w:rPr>
        <w:t>本年度未用财政拨款经费列支“三公”经费</w:t>
      </w:r>
      <w:r>
        <w:rPr>
          <w:rFonts w:ascii="Times New Roman" w:eastAsia="仿宋_GB2312"/>
          <w:sz w:val="30"/>
          <w:szCs w:val="30"/>
        </w:rPr>
        <w:t>。</w:t>
      </w:r>
    </w:p>
    <w:p>
      <w:pPr>
        <w:widowControl/>
        <w:spacing w:line="360" w:lineRule="auto"/>
        <w:ind w:firstLine="602" w:firstLineChars="200"/>
        <w:rPr>
          <w:rFonts w:ascii="楷体" w:eastAsia="楷体"/>
          <w:sz w:val="30"/>
          <w:szCs w:val="30"/>
        </w:rPr>
      </w:pPr>
      <w:r>
        <w:rPr>
          <w:rFonts w:ascii="楷体" w:eastAsia="楷体"/>
          <w:b/>
          <w:sz w:val="30"/>
          <w:szCs w:val="30"/>
        </w:rPr>
        <w:t>（二）具体情况</w:t>
      </w:r>
    </w:p>
    <w:p>
      <w:pPr>
        <w:widowControl/>
        <w:spacing w:line="360" w:lineRule="auto"/>
        <w:ind w:firstLine="600" w:firstLineChars="200"/>
        <w:rPr>
          <w:rFonts w:ascii="Times New Roman" w:eastAsia="仿宋_GB2312"/>
          <w:sz w:val="30"/>
          <w:szCs w:val="30"/>
        </w:rPr>
      </w:pPr>
      <w:r>
        <w:rPr>
          <w:rFonts w:ascii="Times New Roman" w:eastAsia="仿宋_GB2312"/>
          <w:sz w:val="30"/>
          <w:szCs w:val="30"/>
        </w:rPr>
        <w:t>1.因公出国（境）费预算0.00元，支出决算0.00元，与预算相比持平；支出决算较上年持平；决算数与预算数持平的主要原因是</w:t>
      </w:r>
      <w:r>
        <w:rPr>
          <w:rFonts w:hint="eastAsia" w:ascii="Times New Roman" w:hAnsi="Times New Roman" w:eastAsia="仿宋_GB2312" w:cs="仿宋_GB2312"/>
          <w:sz w:val="30"/>
          <w:szCs w:val="30"/>
        </w:rPr>
        <w:t>本年度未用财政拨款经费列支因公出国（境）费</w:t>
      </w:r>
      <w:r>
        <w:rPr>
          <w:rFonts w:ascii="Times New Roman" w:eastAsia="仿宋_GB2312"/>
          <w:sz w:val="30"/>
          <w:szCs w:val="30"/>
        </w:rPr>
        <w:t>；决算数较上年持平的主要原因是</w:t>
      </w:r>
      <w:r>
        <w:rPr>
          <w:rFonts w:hint="eastAsia" w:ascii="Times New Roman" w:hAnsi="Times New Roman" w:eastAsia="仿宋_GB2312" w:cs="仿宋_GB2312"/>
          <w:sz w:val="30"/>
          <w:szCs w:val="30"/>
        </w:rPr>
        <w:t>本年度未用财政拨款经费列支因公出国（境）费</w:t>
      </w:r>
      <w:r>
        <w:rPr>
          <w:rFonts w:ascii="Times New Roman" w:eastAsia="仿宋_GB2312"/>
          <w:sz w:val="30"/>
          <w:szCs w:val="30"/>
        </w:rPr>
        <w:t>。</w:t>
      </w:r>
    </w:p>
    <w:p>
      <w:pPr>
        <w:widowControl/>
        <w:spacing w:line="360" w:lineRule="auto"/>
        <w:ind w:firstLine="600" w:firstLineChars="200"/>
        <w:rPr>
          <w:rFonts w:ascii="Times New Roman" w:eastAsia="仿宋_GB2312"/>
          <w:sz w:val="30"/>
          <w:szCs w:val="30"/>
        </w:rPr>
      </w:pPr>
      <w:r>
        <w:rPr>
          <w:rFonts w:ascii="Times New Roman" w:eastAsia="仿宋_GB2312"/>
          <w:sz w:val="30"/>
          <w:szCs w:val="30"/>
        </w:rPr>
        <w:t>2024年本单位组织的出国团组0个，出国0人次。</w:t>
      </w:r>
    </w:p>
    <w:p>
      <w:pPr>
        <w:widowControl/>
        <w:spacing w:line="360" w:lineRule="auto"/>
        <w:ind w:firstLine="600" w:firstLineChars="200"/>
        <w:rPr>
          <w:rFonts w:ascii="Times New Roman" w:eastAsia="仿宋_GB2312"/>
          <w:sz w:val="30"/>
          <w:szCs w:val="30"/>
        </w:rPr>
      </w:pPr>
      <w:r>
        <w:rPr>
          <w:rFonts w:ascii="Times New Roman" w:eastAsia="仿宋_GB2312"/>
          <w:sz w:val="30"/>
          <w:szCs w:val="30"/>
        </w:rPr>
        <w:t>2.公务用车购置及运行维护费预算0.00元，支出决算0.00元，与预算相比持平；支出决算较上年持平；决算数与预算数持平的主要原因是</w:t>
      </w:r>
      <w:r>
        <w:rPr>
          <w:rFonts w:hint="eastAsia" w:ascii="Times New Roman" w:hAnsi="Times New Roman" w:eastAsia="仿宋_GB2312" w:cs="仿宋_GB2312"/>
          <w:sz w:val="30"/>
          <w:szCs w:val="30"/>
        </w:rPr>
        <w:t>本年度未用财政拨款经费列支公务用车购置费及公务用车运行维护费</w:t>
      </w:r>
      <w:r>
        <w:rPr>
          <w:rFonts w:ascii="Times New Roman" w:eastAsia="仿宋_GB2312"/>
          <w:sz w:val="30"/>
          <w:szCs w:val="30"/>
        </w:rPr>
        <w:t>；决算数较上年持平的主要原因是</w:t>
      </w:r>
      <w:r>
        <w:rPr>
          <w:rFonts w:hint="eastAsia" w:ascii="Times New Roman" w:hAnsi="Times New Roman" w:eastAsia="仿宋_GB2312" w:cs="仿宋_GB2312"/>
          <w:sz w:val="30"/>
          <w:szCs w:val="30"/>
        </w:rPr>
        <w:t>本年度未用财政拨款经费列支公务用车购置费及公务用车运行维护费</w:t>
      </w:r>
      <w:r>
        <w:rPr>
          <w:rFonts w:ascii="Times New Roman" w:eastAsia="仿宋_GB2312"/>
          <w:sz w:val="30"/>
          <w:szCs w:val="30"/>
        </w:rPr>
        <w:t>。其中：</w:t>
      </w:r>
    </w:p>
    <w:p>
      <w:pPr>
        <w:widowControl/>
        <w:spacing w:line="360" w:lineRule="auto"/>
        <w:ind w:firstLine="600" w:firstLineChars="200"/>
        <w:rPr>
          <w:rFonts w:ascii="Times New Roman" w:eastAsia="仿宋_GB2312"/>
          <w:sz w:val="30"/>
          <w:szCs w:val="30"/>
        </w:rPr>
      </w:pPr>
      <w:r>
        <w:rPr>
          <w:rFonts w:ascii="Times New Roman" w:eastAsia="仿宋_GB2312"/>
          <w:sz w:val="30"/>
          <w:szCs w:val="30"/>
        </w:rPr>
        <w:t>公务用车运行维护费预算0.00元，支出决算0.00元，与预算相比持平；支出决算较上年持平；决算数与预算数持平的主要原因是</w:t>
      </w:r>
      <w:r>
        <w:rPr>
          <w:rFonts w:hint="eastAsia" w:ascii="Times New Roman" w:hAnsi="Times New Roman" w:eastAsia="仿宋_GB2312" w:cs="仿宋_GB2312"/>
          <w:sz w:val="30"/>
          <w:szCs w:val="30"/>
        </w:rPr>
        <w:t>本年度未用财政拨款经费列支公务用车运行维护费</w:t>
      </w:r>
      <w:r>
        <w:rPr>
          <w:rFonts w:ascii="Times New Roman" w:eastAsia="仿宋_GB2312"/>
          <w:sz w:val="30"/>
          <w:szCs w:val="30"/>
        </w:rPr>
        <w:t>；决算数较上年持平的主要原因是</w:t>
      </w:r>
      <w:r>
        <w:rPr>
          <w:rFonts w:hint="eastAsia" w:ascii="Times New Roman" w:hAnsi="Times New Roman" w:eastAsia="仿宋_GB2312" w:cs="仿宋_GB2312"/>
          <w:sz w:val="30"/>
          <w:szCs w:val="30"/>
        </w:rPr>
        <w:t>本年度未用财政拨款经费列支公务用车运行维护费</w:t>
      </w:r>
      <w:r>
        <w:rPr>
          <w:rFonts w:ascii="Times New Roman" w:eastAsia="仿宋_GB2312"/>
          <w:sz w:val="30"/>
          <w:szCs w:val="30"/>
        </w:rPr>
        <w:t>。</w:t>
      </w:r>
    </w:p>
    <w:p>
      <w:pPr>
        <w:widowControl/>
        <w:spacing w:line="360" w:lineRule="auto"/>
        <w:ind w:firstLine="600" w:firstLineChars="200"/>
        <w:rPr>
          <w:rFonts w:ascii="Times New Roman" w:eastAsia="仿宋_GB2312"/>
          <w:sz w:val="30"/>
          <w:szCs w:val="30"/>
        </w:rPr>
      </w:pPr>
      <w:r>
        <w:rPr>
          <w:rFonts w:ascii="Times New Roman" w:eastAsia="仿宋_GB2312"/>
          <w:sz w:val="30"/>
          <w:szCs w:val="30"/>
        </w:rPr>
        <w:t>截至2024年12月31日，使用财政拨款开支运行维护费的公务用车保有量为0辆。</w:t>
      </w:r>
    </w:p>
    <w:p>
      <w:pPr>
        <w:widowControl/>
        <w:spacing w:line="360" w:lineRule="auto"/>
        <w:ind w:firstLine="600" w:firstLineChars="200"/>
        <w:rPr>
          <w:rFonts w:ascii="Times New Roman" w:eastAsia="仿宋_GB2312"/>
          <w:sz w:val="30"/>
          <w:szCs w:val="30"/>
        </w:rPr>
      </w:pPr>
      <w:r>
        <w:rPr>
          <w:rFonts w:ascii="Times New Roman" w:eastAsia="仿宋_GB2312"/>
          <w:sz w:val="30"/>
          <w:szCs w:val="30"/>
        </w:rPr>
        <w:t>公务用车购置费预算0.00元，支出决算0.00元，与预算相比持平；支出决算较上年持平；决算数与预算数持平的主要原因是</w:t>
      </w:r>
      <w:r>
        <w:rPr>
          <w:rFonts w:hint="eastAsia" w:ascii="Times New Roman" w:hAnsi="Times New Roman" w:eastAsia="仿宋_GB2312" w:cs="仿宋_GB2312"/>
          <w:sz w:val="30"/>
          <w:szCs w:val="30"/>
        </w:rPr>
        <w:t>本年度未用财政拨款经费列支公务用车购置费</w:t>
      </w:r>
      <w:r>
        <w:rPr>
          <w:rFonts w:ascii="Times New Roman" w:eastAsia="仿宋_GB2312"/>
          <w:sz w:val="30"/>
          <w:szCs w:val="30"/>
        </w:rPr>
        <w:t>；决算数较上年持平的主要原因是</w:t>
      </w:r>
      <w:r>
        <w:rPr>
          <w:rFonts w:hint="eastAsia" w:ascii="Times New Roman" w:hAnsi="Times New Roman" w:eastAsia="仿宋_GB2312" w:cs="仿宋_GB2312"/>
          <w:sz w:val="30"/>
          <w:szCs w:val="30"/>
        </w:rPr>
        <w:t>本年度未用财政拨款经费列支公务用车购置费</w:t>
      </w:r>
      <w:r>
        <w:rPr>
          <w:rFonts w:ascii="Times New Roman" w:eastAsia="仿宋_GB2312"/>
          <w:sz w:val="30"/>
          <w:szCs w:val="30"/>
        </w:rPr>
        <w:t>。</w:t>
      </w:r>
    </w:p>
    <w:p>
      <w:pPr>
        <w:widowControl/>
        <w:spacing w:line="360" w:lineRule="auto"/>
        <w:ind w:firstLine="600" w:firstLineChars="200"/>
        <w:rPr>
          <w:rFonts w:ascii="Times New Roman" w:eastAsia="仿宋_GB2312"/>
          <w:sz w:val="30"/>
          <w:szCs w:val="30"/>
        </w:rPr>
      </w:pPr>
      <w:r>
        <w:rPr>
          <w:rFonts w:ascii="Times New Roman" w:eastAsia="仿宋_GB2312"/>
          <w:sz w:val="30"/>
          <w:szCs w:val="30"/>
        </w:rPr>
        <w:t>2024年购置公务用车0辆。</w:t>
      </w:r>
    </w:p>
    <w:p>
      <w:pPr>
        <w:widowControl/>
        <w:spacing w:line="360" w:lineRule="auto"/>
        <w:ind w:firstLine="600" w:firstLineChars="200"/>
        <w:rPr>
          <w:rFonts w:ascii="Times New Roman" w:eastAsia="仿宋_GB2312"/>
          <w:sz w:val="30"/>
          <w:szCs w:val="30"/>
        </w:rPr>
      </w:pPr>
      <w:r>
        <w:rPr>
          <w:rFonts w:ascii="Times New Roman" w:eastAsia="仿宋_GB2312"/>
          <w:sz w:val="30"/>
          <w:szCs w:val="30"/>
        </w:rPr>
        <w:t>3.公务接待费预算0.00元，支出决算0.00元，与预算相比持平；支出决算较上年持平；决算数与预算数持平的主要原因是</w:t>
      </w:r>
      <w:r>
        <w:rPr>
          <w:rFonts w:hint="eastAsia" w:ascii="Times New Roman" w:hAnsi="Times New Roman" w:eastAsia="仿宋_GB2312" w:cs="仿宋_GB2312"/>
          <w:sz w:val="30"/>
          <w:szCs w:val="30"/>
        </w:rPr>
        <w:t>本年度未用财政拨款经费列支公务接待费</w:t>
      </w:r>
      <w:r>
        <w:rPr>
          <w:rFonts w:ascii="Times New Roman" w:eastAsia="仿宋_GB2312"/>
          <w:sz w:val="30"/>
          <w:szCs w:val="30"/>
        </w:rPr>
        <w:t>；决算数较上年持平的主要原因是</w:t>
      </w:r>
      <w:r>
        <w:rPr>
          <w:rFonts w:hint="eastAsia" w:ascii="Times New Roman" w:hAnsi="Times New Roman" w:eastAsia="仿宋_GB2312" w:cs="仿宋_GB2312"/>
          <w:sz w:val="30"/>
          <w:szCs w:val="30"/>
        </w:rPr>
        <w:t>本年度未用财政拨款经费列支公务接待费</w:t>
      </w:r>
      <w:r>
        <w:rPr>
          <w:rFonts w:ascii="Times New Roman" w:eastAsia="仿宋_GB2312"/>
          <w:sz w:val="30"/>
          <w:szCs w:val="30"/>
        </w:rPr>
        <w:t>。</w:t>
      </w:r>
    </w:p>
    <w:p>
      <w:pPr>
        <w:widowControl/>
        <w:spacing w:line="360" w:lineRule="auto"/>
        <w:ind w:firstLine="600" w:firstLineChars="200"/>
        <w:rPr>
          <w:rFonts w:ascii="Times New Roman" w:eastAsia="仿宋_GB2312"/>
          <w:sz w:val="30"/>
          <w:szCs w:val="30"/>
        </w:rPr>
      </w:pPr>
      <w:r>
        <w:rPr>
          <w:rFonts w:ascii="Times New Roman" w:eastAsia="仿宋_GB2312"/>
          <w:sz w:val="30"/>
          <w:szCs w:val="30"/>
        </w:rPr>
        <w:t>2024年本单位国内公务接待0批次，0人次；其中，外事接待0批次，0人次。</w:t>
      </w:r>
    </w:p>
    <w:p>
      <w:pPr>
        <w:widowControl/>
        <w:spacing w:line="360" w:lineRule="auto"/>
        <w:ind w:firstLine="602" w:firstLineChars="200"/>
        <w:outlineLvl w:val="1"/>
        <w:rPr>
          <w:rFonts w:ascii="宋体" w:eastAsia="黑体"/>
          <w:sz w:val="30"/>
          <w:szCs w:val="30"/>
        </w:rPr>
      </w:pPr>
      <w:r>
        <w:rPr>
          <w:rFonts w:ascii="宋体" w:eastAsia="黑体"/>
          <w:b/>
          <w:sz w:val="30"/>
          <w:szCs w:val="30"/>
        </w:rPr>
        <w:t>十、机关运行经费支出情况说明</w:t>
      </w:r>
    </w:p>
    <w:p>
      <w:pPr>
        <w:widowControl/>
        <w:spacing w:line="360" w:lineRule="auto"/>
        <w:ind w:firstLine="600" w:firstLineChars="200"/>
        <w:rPr>
          <w:rFonts w:ascii="Times New Roman" w:eastAsia="仿宋_GB2312"/>
          <w:sz w:val="30"/>
          <w:szCs w:val="30"/>
        </w:rPr>
      </w:pPr>
      <w:r>
        <w:rPr>
          <w:rFonts w:ascii="Times New Roman" w:eastAsia="仿宋_GB2312"/>
          <w:sz w:val="30"/>
          <w:szCs w:val="30"/>
        </w:rPr>
        <w:t>天津市南开区纪委监委综合服务中心2024年度无机关运行经费。</w:t>
      </w:r>
    </w:p>
    <w:p>
      <w:pPr>
        <w:widowControl/>
        <w:spacing w:line="360" w:lineRule="auto"/>
        <w:ind w:firstLine="602" w:firstLineChars="200"/>
        <w:outlineLvl w:val="1"/>
        <w:rPr>
          <w:rFonts w:ascii="宋体" w:eastAsia="黑体"/>
          <w:sz w:val="30"/>
          <w:szCs w:val="30"/>
        </w:rPr>
      </w:pPr>
      <w:r>
        <w:rPr>
          <w:rFonts w:ascii="宋体" w:eastAsia="黑体"/>
          <w:b/>
          <w:sz w:val="30"/>
          <w:szCs w:val="30"/>
        </w:rPr>
        <w:t>十一、政府采购支出情况说明</w:t>
      </w:r>
    </w:p>
    <w:p>
      <w:pPr>
        <w:widowControl/>
        <w:spacing w:line="360" w:lineRule="auto"/>
        <w:ind w:firstLine="600" w:firstLineChars="200"/>
        <w:rPr>
          <w:rFonts w:ascii="Times New Roman" w:eastAsia="仿宋_GB2312"/>
          <w:sz w:val="30"/>
          <w:szCs w:val="30"/>
        </w:rPr>
      </w:pPr>
      <w:r>
        <w:rPr>
          <w:rFonts w:ascii="Times New Roman" w:eastAsia="仿宋_GB2312"/>
          <w:sz w:val="30"/>
          <w:szCs w:val="30"/>
        </w:rPr>
        <w:t>天津市南开区纪委监委综合服务中心2024年度无政府采购支出。</w:t>
      </w:r>
    </w:p>
    <w:p>
      <w:pPr>
        <w:widowControl/>
        <w:spacing w:line="360" w:lineRule="auto"/>
        <w:ind w:firstLine="602" w:firstLineChars="200"/>
        <w:outlineLvl w:val="1"/>
        <w:rPr>
          <w:rFonts w:ascii="宋体" w:eastAsia="黑体"/>
          <w:sz w:val="30"/>
          <w:szCs w:val="30"/>
        </w:rPr>
      </w:pPr>
      <w:r>
        <w:rPr>
          <w:rFonts w:ascii="宋体" w:eastAsia="黑体"/>
          <w:b/>
          <w:sz w:val="30"/>
          <w:szCs w:val="30"/>
        </w:rPr>
        <w:t>十二、国有资产占有使用情况说明</w:t>
      </w:r>
    </w:p>
    <w:p>
      <w:pPr>
        <w:widowControl/>
        <w:spacing w:line="360" w:lineRule="auto"/>
        <w:ind w:firstLine="600" w:firstLineChars="200"/>
        <w:rPr>
          <w:rFonts w:ascii="Times New Roman" w:eastAsia="仿宋_GB2312"/>
          <w:sz w:val="30"/>
          <w:szCs w:val="30"/>
        </w:rPr>
      </w:pPr>
      <w:r>
        <w:rPr>
          <w:rFonts w:ascii="Times New Roman" w:eastAsia="仿宋_GB2312"/>
          <w:sz w:val="30"/>
          <w:szCs w:val="30"/>
        </w:rPr>
        <w:t>天津市南开区纪委监委综合服务中心2024年度无国有资产占有使用情况。</w:t>
      </w:r>
    </w:p>
    <w:p>
      <w:pPr>
        <w:widowControl/>
        <w:spacing w:line="360" w:lineRule="auto"/>
        <w:ind w:firstLine="602" w:firstLineChars="200"/>
        <w:outlineLvl w:val="1"/>
        <w:rPr>
          <w:rFonts w:ascii="宋体" w:eastAsia="黑体"/>
          <w:sz w:val="30"/>
          <w:szCs w:val="30"/>
        </w:rPr>
      </w:pPr>
      <w:r>
        <w:rPr>
          <w:rFonts w:ascii="宋体" w:eastAsia="黑体"/>
          <w:b/>
          <w:sz w:val="30"/>
          <w:szCs w:val="30"/>
        </w:rPr>
        <w:t>十三、预算绩效情况说明</w:t>
      </w:r>
    </w:p>
    <w:p>
      <w:pPr>
        <w:widowControl/>
        <w:ind w:firstLine="600" w:firstLineChars="200"/>
        <w:rPr>
          <w:rFonts w:ascii="Times New Roman" w:eastAsia="仿宋_GB2312"/>
          <w:sz w:val="30"/>
          <w:szCs w:val="30"/>
        </w:rPr>
      </w:pPr>
      <w:r>
        <w:rPr>
          <w:rFonts w:ascii="Times New Roman" w:eastAsia="仿宋_GB2312"/>
          <w:sz w:val="30"/>
          <w:szCs w:val="30"/>
        </w:rPr>
        <w:t>根据预算绩效管理要求，天津市南开区纪委监委综合服务中心已对</w:t>
      </w:r>
      <w:r>
        <w:rPr>
          <w:rFonts w:hint="eastAsia" w:ascii="Times New Roman" w:eastAsia="仿宋_GB2312"/>
          <w:sz w:val="30"/>
          <w:szCs w:val="30"/>
        </w:rPr>
        <w:t>2</w:t>
      </w:r>
      <w:r>
        <w:rPr>
          <w:rFonts w:ascii="Times New Roman" w:eastAsia="仿宋_GB2312"/>
          <w:sz w:val="30"/>
          <w:szCs w:val="30"/>
        </w:rPr>
        <w:t>个2024年度项目开展绩效自评，涉及金额</w:t>
      </w:r>
      <w:r>
        <w:rPr>
          <w:rFonts w:hint="eastAsia" w:ascii="Times New Roman" w:eastAsia="仿宋_GB2312"/>
          <w:sz w:val="30"/>
          <w:szCs w:val="30"/>
        </w:rPr>
        <w:t>87,126.21</w:t>
      </w:r>
      <w:r>
        <w:rPr>
          <w:rFonts w:ascii="Times New Roman" w:eastAsia="仿宋_GB2312"/>
          <w:sz w:val="30"/>
          <w:szCs w:val="30"/>
        </w:rPr>
        <w:t>元，自评结果已随部门决算一并公开。</w:t>
      </w:r>
    </w:p>
    <w:p>
      <w:pPr>
        <w:widowControl/>
        <w:spacing w:line="360" w:lineRule="auto"/>
        <w:ind w:firstLine="602" w:firstLineChars="200"/>
        <w:outlineLvl w:val="1"/>
        <w:rPr>
          <w:rFonts w:ascii="宋体" w:eastAsia="黑体"/>
          <w:sz w:val="30"/>
          <w:szCs w:val="30"/>
        </w:rPr>
      </w:pPr>
      <w:r>
        <w:rPr>
          <w:rFonts w:ascii="宋体" w:eastAsia="黑体"/>
          <w:b/>
          <w:sz w:val="30"/>
          <w:szCs w:val="30"/>
        </w:rPr>
        <w:t>十四、教育、医疗卫生、社会保障和就业、住房保障、涉农补贴等民生支出情况说明</w:t>
      </w:r>
    </w:p>
    <w:p>
      <w:pPr>
        <w:widowControl/>
        <w:ind w:firstLine="600" w:firstLineChars="200"/>
        <w:rPr>
          <w:rFonts w:ascii="Times New Roman" w:eastAsia="仿宋_GB2312"/>
          <w:sz w:val="30"/>
          <w:szCs w:val="30"/>
        </w:rPr>
      </w:pPr>
      <w:r>
        <w:rPr>
          <w:rFonts w:ascii="Times New Roman" w:eastAsia="仿宋_GB2312"/>
          <w:sz w:val="30"/>
          <w:szCs w:val="30"/>
        </w:rPr>
        <w:t>天津市南开区纪委监委综合服务中心不属于乡、镇、街级单位，不涉及公开2024年度教育、医疗卫生、社会保障和就业、住房保障、涉农补贴等民生支出情况。</w:t>
      </w:r>
    </w:p>
    <w:p>
      <w:pPr>
        <w:widowControl/>
        <w:spacing w:line="360" w:lineRule="auto"/>
        <w:outlineLvl w:val="0"/>
        <w:rPr>
          <w:rFonts w:ascii="黑体" w:eastAsia="黑体"/>
          <w:sz w:val="44"/>
          <w:szCs w:val="44"/>
        </w:rPr>
      </w:pPr>
    </w:p>
    <w:p>
      <w:pPr>
        <w:widowControl/>
        <w:spacing w:line="360" w:lineRule="auto"/>
        <w:outlineLvl w:val="0"/>
        <w:rPr>
          <w:rFonts w:ascii="黑体" w:eastAsia="黑体"/>
          <w:sz w:val="44"/>
          <w:szCs w:val="44"/>
        </w:rPr>
      </w:pPr>
    </w:p>
    <w:p>
      <w:pPr>
        <w:widowControl/>
        <w:spacing w:line="360" w:lineRule="auto"/>
        <w:outlineLvl w:val="0"/>
        <w:rPr>
          <w:rFonts w:ascii="黑体" w:eastAsia="黑体"/>
          <w:sz w:val="44"/>
          <w:szCs w:val="44"/>
        </w:rPr>
      </w:pPr>
    </w:p>
    <w:p>
      <w:pPr>
        <w:widowControl/>
        <w:spacing w:line="360" w:lineRule="auto"/>
        <w:outlineLvl w:val="0"/>
        <w:rPr>
          <w:rFonts w:ascii="黑体" w:eastAsia="黑体"/>
          <w:sz w:val="44"/>
          <w:szCs w:val="44"/>
        </w:rPr>
      </w:pPr>
    </w:p>
    <w:p>
      <w:pPr>
        <w:widowControl/>
        <w:spacing w:line="360" w:lineRule="auto"/>
        <w:outlineLvl w:val="0"/>
        <w:rPr>
          <w:rFonts w:ascii="黑体" w:eastAsia="黑体"/>
          <w:sz w:val="44"/>
          <w:szCs w:val="44"/>
        </w:rPr>
      </w:pPr>
    </w:p>
    <w:p>
      <w:pPr>
        <w:widowControl/>
        <w:spacing w:line="360" w:lineRule="auto"/>
        <w:outlineLvl w:val="0"/>
        <w:rPr>
          <w:rFonts w:ascii="黑体" w:eastAsia="黑体"/>
          <w:sz w:val="44"/>
          <w:szCs w:val="44"/>
        </w:rPr>
      </w:pPr>
    </w:p>
    <w:p>
      <w:pPr>
        <w:widowControl/>
        <w:spacing w:line="360" w:lineRule="auto"/>
        <w:outlineLvl w:val="0"/>
        <w:rPr>
          <w:rFonts w:ascii="黑体" w:eastAsia="黑体"/>
          <w:sz w:val="44"/>
          <w:szCs w:val="44"/>
        </w:rPr>
      </w:pPr>
    </w:p>
    <w:p>
      <w:pPr>
        <w:widowControl/>
        <w:spacing w:line="360" w:lineRule="auto"/>
        <w:jc w:val="center"/>
        <w:outlineLvl w:val="0"/>
        <w:rPr>
          <w:rFonts w:ascii="黑体" w:eastAsia="黑体"/>
          <w:sz w:val="44"/>
          <w:szCs w:val="44"/>
        </w:rPr>
      </w:pPr>
      <w:r>
        <w:rPr>
          <w:rFonts w:ascii="黑体" w:eastAsia="黑体"/>
          <w:sz w:val="44"/>
          <w:szCs w:val="44"/>
        </w:rPr>
        <w:t>第四部分 名词解释</w:t>
      </w:r>
    </w:p>
    <w:p>
      <w:pPr>
        <w:widowControl/>
        <w:spacing w:line="360" w:lineRule="auto"/>
        <w:ind w:firstLine="600" w:firstLineChars="200"/>
        <w:rPr>
          <w:rFonts w:ascii="Times New Roman" w:eastAsia="仿宋_GB2312"/>
          <w:sz w:val="30"/>
          <w:szCs w:val="30"/>
        </w:rPr>
      </w:pPr>
      <w:r>
        <w:rPr>
          <w:rFonts w:ascii="Times New Roman" w:eastAsia="仿宋_GB2312"/>
          <w:sz w:val="30"/>
          <w:szCs w:val="30"/>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pPr>
        <w:widowControl/>
        <w:spacing w:line="360" w:lineRule="auto"/>
        <w:ind w:firstLine="600" w:firstLineChars="200"/>
        <w:rPr>
          <w:rFonts w:ascii="Times New Roman" w:eastAsia="仿宋_GB2312"/>
          <w:sz w:val="30"/>
          <w:szCs w:val="30"/>
        </w:rPr>
      </w:pPr>
      <w:r>
        <w:rPr>
          <w:rFonts w:ascii="Times New Roman" w:eastAsia="仿宋_GB2312"/>
          <w:sz w:val="30"/>
          <w:szCs w:val="30"/>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pPr>
        <w:widowControl/>
        <w:spacing w:line="360" w:lineRule="auto"/>
        <w:ind w:firstLine="600" w:firstLineChars="200"/>
        <w:rPr>
          <w:rFonts w:ascii="Times New Roman" w:eastAsia="仿宋_GB2312"/>
          <w:sz w:val="30"/>
          <w:szCs w:val="30"/>
        </w:rPr>
      </w:pPr>
      <w:r>
        <w:rPr>
          <w:rFonts w:ascii="Times New Roman" w:eastAsia="仿宋_GB2312"/>
          <w:sz w:val="30"/>
          <w:szCs w:val="30"/>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p>
      <w:pPr>
        <w:widowControl/>
        <w:spacing w:line="360" w:lineRule="auto"/>
        <w:ind w:firstLine="640" w:firstLineChars="200"/>
        <w:rPr>
          <w:rFonts w:ascii="Times New Roman" w:eastAsia="仿宋_GB2312"/>
          <w:sz w:val="32"/>
          <w:szCs w:val="32"/>
        </w:rPr>
      </w:pPr>
      <w:r>
        <w:rPr>
          <w:rFonts w:ascii="Times New Roman" w:eastAsia="仿宋_GB2312"/>
          <w:sz w:val="32"/>
          <w:szCs w:val="32"/>
        </w:rPr>
        <w:t>  </w:t>
      </w:r>
    </w:p>
    <w:p>
      <w:pPr>
        <w:rPr>
          <w:rFonts w:asciiTheme="minorEastAsia" w:hAnsiTheme="minorEastAsia" w:cstheme="minorEastAsia"/>
          <w:color w:val="333333"/>
          <w:sz w:val="22"/>
          <w:szCs w:val="22"/>
          <w:shd w:val="clear" w:color="auto" w:fill="FFFFFF"/>
        </w:rPr>
      </w:pPr>
    </w:p>
    <w:sectPr>
      <w:pgSz w:w="11906" w:h="16838"/>
      <w:pgMar w:top="2098" w:right="1417" w:bottom="1871" w:left="1417" w:header="851" w:footer="992" w:gutter="0"/>
      <w:cols w:space="0" w:num="1"/>
      <w:docGrid w:type="lines" w:linePitch="32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B9BAC7E4-DEB5-4549-87DC-D4565AE2328E}"/>
  </w:font>
  <w:font w:name="黑体">
    <w:panose1 w:val="02010609060101010101"/>
    <w:charset w:val="86"/>
    <w:family w:val="auto"/>
    <w:pitch w:val="default"/>
    <w:sig w:usb0="800002BF" w:usb1="38CF7CFA" w:usb2="00000016" w:usb3="00000000" w:csb0="00040001" w:csb1="00000000"/>
    <w:embedRegular r:id="rId2" w:fontKey="{A9B38046-6446-4A40-B809-FFD75E5BBC16}"/>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3" w:fontKey="{4BB32CB5-A988-4E46-8A72-12DFFC974C04}"/>
  </w:font>
  <w:font w:name="仿宋">
    <w:panose1 w:val="02010609060101010101"/>
    <w:charset w:val="86"/>
    <w:family w:val="modern"/>
    <w:pitch w:val="default"/>
    <w:sig w:usb0="800002BF" w:usb1="38CF7CFA" w:usb2="00000016" w:usb3="00000000" w:csb0="00040001" w:csb1="00000000"/>
    <w:embedRegular r:id="rId4" w:fontKey="{702A5983-829B-472A-AD51-6D7BF444AB31}"/>
  </w:font>
  <w:font w:name="Calibri Light">
    <w:panose1 w:val="020F0302020204030204"/>
    <w:charset w:val="00"/>
    <w:family w:val="roman"/>
    <w:pitch w:val="default"/>
    <w:sig w:usb0="A00002EF" w:usb1="4000207B" w:usb2="00000000" w:usb3="00000000" w:csb0="2000019F" w:csb1="00000000"/>
  </w:font>
  <w:font w:name="华文中宋">
    <w:panose1 w:val="02010600040101010101"/>
    <w:charset w:val="86"/>
    <w:family w:val="auto"/>
    <w:pitch w:val="default"/>
    <w:sig w:usb0="00000287" w:usb1="080F0000" w:usb2="00000000" w:usb3="00000000" w:csb0="0004009F" w:csb1="DFD70000"/>
  </w:font>
  <w:font w:name="Helvetica">
    <w:altName w:val="Arial"/>
    <w:panose1 w:val="020B0604020202020204"/>
    <w:charset w:val="00"/>
    <w:family w:val="swiss"/>
    <w:pitch w:val="default"/>
    <w:sig w:usb0="00000000" w:usb1="00000000" w:usb2="00000000" w:usb3="00000000" w:csb0="00000001" w:csb1="00000000"/>
  </w:font>
  <w:font w:name="Fz_S_BiaoSong_Jt">
    <w:altName w:val="Times New Roman"/>
    <w:panose1 w:val="00000000000000000000"/>
    <w:charset w:val="00"/>
    <w:family w:val="roman"/>
    <w:pitch w:val="default"/>
    <w:sig w:usb0="00000000" w:usb1="00000000" w:usb2="00000000" w:usb3="00000000" w:csb0="00000000" w:csb1="00000000"/>
    <w:embedRegular r:id="rId5" w:fontKey="{CF57DA51-5AE7-4B72-873A-7D5EC6ED8603}"/>
  </w:font>
  <w:font w:name="仿宋_GB2312">
    <w:panose1 w:val="02010609030101010101"/>
    <w:charset w:val="86"/>
    <w:family w:val="modern"/>
    <w:pitch w:val="default"/>
    <w:sig w:usb0="00000001" w:usb1="080E0000" w:usb2="00000000" w:usb3="00000000" w:csb0="00040000" w:csb1="00000000"/>
    <w:embedRegular r:id="rId6" w:fontKey="{D3A6CB51-2C3B-4202-BDE8-A40B8C7A60C8}"/>
  </w:font>
  <w:font w:name="宋体-简">
    <w:altName w:val="宋体"/>
    <w:panose1 w:val="00000000000000000000"/>
    <w:charset w:val="86"/>
    <w:family w:val="auto"/>
    <w:pitch w:val="default"/>
    <w:sig w:usb0="00000000" w:usb1="00000000" w:usb2="00000000" w:usb3="00000000" w:csb0="00040000" w:csb1="00000000"/>
    <w:embedRegular r:id="rId7" w:fontKey="{A8F9F87B-731C-4B5C-828E-78C833C10133}"/>
  </w:font>
  <w:font w:name="楷体">
    <w:panose1 w:val="02010609060101010101"/>
    <w:charset w:val="86"/>
    <w:family w:val="modern"/>
    <w:pitch w:val="default"/>
    <w:sig w:usb0="800002BF" w:usb1="38CF7CFA" w:usb2="00000016" w:usb3="00000000" w:csb0="00040001" w:csb1="00000000"/>
    <w:embedRegular r:id="rId8" w:fontKey="{C0803571-A649-4760-9A52-C36C1FA87A6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p>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8"/>
                </w:pPr>
                <w:r>
                  <w:rPr>
                    <w:rFonts w:hint="eastAsia"/>
                  </w:rPr>
                  <w:fldChar w:fldCharType="begin"/>
                </w:r>
                <w:r>
                  <w:rPr>
                    <w:rFonts w:hint="eastAsia"/>
                  </w:rPr>
                  <w:instrText xml:space="preserve"> PAGE  \* MERGEFORMAT </w:instrText>
                </w:r>
                <w:r>
                  <w:rPr>
                    <w:rFonts w:hint="eastAsia"/>
                  </w:rPr>
                  <w:fldChar w:fldCharType="separate"/>
                </w:r>
                <w:r>
                  <w:t>28</w:t>
                </w:r>
                <w:r>
                  <w:rPr>
                    <w:rFonts w:hint="eastAsia"/>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F1D044"/>
    <w:multiLevelType w:val="singleLevel"/>
    <w:tmpl w:val="EBF1D044"/>
    <w:lvl w:ilvl="0" w:tentative="0">
      <w:start w:val="6"/>
      <w:numFmt w:val="chineseCounting"/>
      <w:suff w:val="nothing"/>
      <w:lvlText w:val="%1、"/>
      <w:lvlJc w:val="left"/>
      <w:rPr>
        <w:rFonts w:hint="eastAsia"/>
      </w:rPr>
    </w:lvl>
  </w:abstractNum>
  <w:abstractNum w:abstractNumId="1">
    <w:nsid w:val="5F16A424"/>
    <w:multiLevelType w:val="multilevel"/>
    <w:tmpl w:val="5F16A424"/>
    <w:lvl w:ilvl="0" w:tentative="0">
      <w:start w:val="1"/>
      <w:numFmt w:val="decimal"/>
      <w:pStyle w:val="2"/>
      <w:lvlText w:val="%1."/>
      <w:lvlJc w:val="left"/>
      <w:pPr>
        <w:ind w:left="425" w:hanging="425"/>
      </w:pPr>
      <w:rPr>
        <w:rFonts w:hint="default"/>
      </w:rPr>
    </w:lvl>
    <w:lvl w:ilvl="1" w:tentative="0">
      <w:start w:val="1"/>
      <w:numFmt w:val="decimal"/>
      <w:pStyle w:val="3"/>
      <w:lvlText w:val="%1.%2."/>
      <w:lvlJc w:val="left"/>
      <w:pPr>
        <w:ind w:left="567" w:hanging="567"/>
      </w:pPr>
      <w:rPr>
        <w:rFonts w:hint="default"/>
      </w:rPr>
    </w:lvl>
    <w:lvl w:ilvl="2" w:tentative="0">
      <w:start w:val="1"/>
      <w:numFmt w:val="decimal"/>
      <w:pStyle w:val="4"/>
      <w:lvlText w:val="%1.%2.%3."/>
      <w:lvlJc w:val="left"/>
      <w:pPr>
        <w:ind w:left="709" w:hanging="709"/>
      </w:pPr>
      <w:rPr>
        <w:rFonts w:hint="default"/>
      </w:rPr>
    </w:lvl>
    <w:lvl w:ilvl="3" w:tentative="0">
      <w:start w:val="1"/>
      <w:numFmt w:val="decimal"/>
      <w:pStyle w:val="5"/>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embedTrueTypeFonts/>
  <w:saveSubsetFonts/>
  <w:documentProtection w:enforcement="0"/>
  <w:defaultTabStop w:val="420"/>
  <w:drawingGridVerticalSpacing w:val="165"/>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jb3VudCI6NzEsImhkaWQiOiIwOWZmNGM5NWI3N2I3ZjBhMDgxMmUxZjg3YjY1Y2NmNSIsInVzZXJDb3VudCI6Mn0="/>
  </w:docVars>
  <w:rsids>
    <w:rsidRoot w:val="00D53846"/>
    <w:rsid w:val="00024ACE"/>
    <w:rsid w:val="00086151"/>
    <w:rsid w:val="00236F8C"/>
    <w:rsid w:val="00822154"/>
    <w:rsid w:val="00C65689"/>
    <w:rsid w:val="00CC2C8E"/>
    <w:rsid w:val="00D53846"/>
    <w:rsid w:val="00EA43C9"/>
    <w:rsid w:val="016646EA"/>
    <w:rsid w:val="01A03C5A"/>
    <w:rsid w:val="01A5267D"/>
    <w:rsid w:val="01AF6A8D"/>
    <w:rsid w:val="024808A2"/>
    <w:rsid w:val="025C3821"/>
    <w:rsid w:val="02DA3B1B"/>
    <w:rsid w:val="02E57B4D"/>
    <w:rsid w:val="03450B90"/>
    <w:rsid w:val="037B12D4"/>
    <w:rsid w:val="03804D63"/>
    <w:rsid w:val="03FB73B0"/>
    <w:rsid w:val="04806B11"/>
    <w:rsid w:val="049C1B9D"/>
    <w:rsid w:val="04BD008C"/>
    <w:rsid w:val="04C55939"/>
    <w:rsid w:val="04DA28BB"/>
    <w:rsid w:val="04F528BE"/>
    <w:rsid w:val="050E10CE"/>
    <w:rsid w:val="054F2DFB"/>
    <w:rsid w:val="05991C82"/>
    <w:rsid w:val="05CD1EC8"/>
    <w:rsid w:val="061416A9"/>
    <w:rsid w:val="061D60A6"/>
    <w:rsid w:val="06236884"/>
    <w:rsid w:val="06B07006"/>
    <w:rsid w:val="06FC7C2A"/>
    <w:rsid w:val="07533AFE"/>
    <w:rsid w:val="07AC18F2"/>
    <w:rsid w:val="07B3657A"/>
    <w:rsid w:val="07C857D0"/>
    <w:rsid w:val="083F3A0A"/>
    <w:rsid w:val="08AB5AAF"/>
    <w:rsid w:val="09012C64"/>
    <w:rsid w:val="09376C4E"/>
    <w:rsid w:val="093B2E99"/>
    <w:rsid w:val="095D7943"/>
    <w:rsid w:val="09C006C6"/>
    <w:rsid w:val="0A10621F"/>
    <w:rsid w:val="0A464C4F"/>
    <w:rsid w:val="0A6729A3"/>
    <w:rsid w:val="0A694877"/>
    <w:rsid w:val="0AA954BE"/>
    <w:rsid w:val="0AE70639"/>
    <w:rsid w:val="0B4F5E6D"/>
    <w:rsid w:val="0B54502F"/>
    <w:rsid w:val="0B753AE2"/>
    <w:rsid w:val="0BB67D0A"/>
    <w:rsid w:val="0BC56230"/>
    <w:rsid w:val="0BCF21BD"/>
    <w:rsid w:val="0C4E53E8"/>
    <w:rsid w:val="0C6712D6"/>
    <w:rsid w:val="0C9F7900"/>
    <w:rsid w:val="0CB23317"/>
    <w:rsid w:val="0D101068"/>
    <w:rsid w:val="0D4E13BE"/>
    <w:rsid w:val="0D7557DF"/>
    <w:rsid w:val="0D853E34"/>
    <w:rsid w:val="0D9C2A57"/>
    <w:rsid w:val="0DC3019B"/>
    <w:rsid w:val="0DFA5D82"/>
    <w:rsid w:val="0E1E52CE"/>
    <w:rsid w:val="0E722011"/>
    <w:rsid w:val="0E866524"/>
    <w:rsid w:val="0E9268D3"/>
    <w:rsid w:val="0E957F1F"/>
    <w:rsid w:val="0F0E7284"/>
    <w:rsid w:val="0F28110F"/>
    <w:rsid w:val="0F37083F"/>
    <w:rsid w:val="0F7470AF"/>
    <w:rsid w:val="0F891DB8"/>
    <w:rsid w:val="0F8D3287"/>
    <w:rsid w:val="0FAA3B86"/>
    <w:rsid w:val="10191346"/>
    <w:rsid w:val="102A01A6"/>
    <w:rsid w:val="105A290D"/>
    <w:rsid w:val="10754A6C"/>
    <w:rsid w:val="108B537D"/>
    <w:rsid w:val="10B11DB1"/>
    <w:rsid w:val="10E649D4"/>
    <w:rsid w:val="11177F57"/>
    <w:rsid w:val="11217C97"/>
    <w:rsid w:val="11464C20"/>
    <w:rsid w:val="115E4926"/>
    <w:rsid w:val="118A1FFA"/>
    <w:rsid w:val="11E35B5A"/>
    <w:rsid w:val="11E42DD6"/>
    <w:rsid w:val="125F5A1B"/>
    <w:rsid w:val="126979D6"/>
    <w:rsid w:val="129E45A7"/>
    <w:rsid w:val="13074404"/>
    <w:rsid w:val="136A5C00"/>
    <w:rsid w:val="13B97B08"/>
    <w:rsid w:val="13C527AC"/>
    <w:rsid w:val="143C61AE"/>
    <w:rsid w:val="14711797"/>
    <w:rsid w:val="147B6F17"/>
    <w:rsid w:val="14D42061"/>
    <w:rsid w:val="15081C8B"/>
    <w:rsid w:val="15090D5C"/>
    <w:rsid w:val="15CF053D"/>
    <w:rsid w:val="15E0131A"/>
    <w:rsid w:val="15E11DC0"/>
    <w:rsid w:val="16457D9F"/>
    <w:rsid w:val="17223EFF"/>
    <w:rsid w:val="17AA5F28"/>
    <w:rsid w:val="17B713F6"/>
    <w:rsid w:val="184350A0"/>
    <w:rsid w:val="18935485"/>
    <w:rsid w:val="18A34206"/>
    <w:rsid w:val="18DE3B2C"/>
    <w:rsid w:val="1906685D"/>
    <w:rsid w:val="19111683"/>
    <w:rsid w:val="19353916"/>
    <w:rsid w:val="193E101D"/>
    <w:rsid w:val="19C10AF1"/>
    <w:rsid w:val="1A017CDA"/>
    <w:rsid w:val="1A2672DE"/>
    <w:rsid w:val="1AA81D42"/>
    <w:rsid w:val="1AB433D9"/>
    <w:rsid w:val="1AFB6D70"/>
    <w:rsid w:val="1B1B11EE"/>
    <w:rsid w:val="1B3719E0"/>
    <w:rsid w:val="1B6261C3"/>
    <w:rsid w:val="1B731730"/>
    <w:rsid w:val="1B882BB5"/>
    <w:rsid w:val="1B9B33C7"/>
    <w:rsid w:val="1B9D7FEC"/>
    <w:rsid w:val="1BA55461"/>
    <w:rsid w:val="1BE74496"/>
    <w:rsid w:val="1C3D67D1"/>
    <w:rsid w:val="1C40731A"/>
    <w:rsid w:val="1C506572"/>
    <w:rsid w:val="1C560392"/>
    <w:rsid w:val="1C581532"/>
    <w:rsid w:val="1C9F2E05"/>
    <w:rsid w:val="1CA15E03"/>
    <w:rsid w:val="1CA24F0C"/>
    <w:rsid w:val="1CF8716C"/>
    <w:rsid w:val="1D1638FE"/>
    <w:rsid w:val="1D1E545A"/>
    <w:rsid w:val="1D4B1F5B"/>
    <w:rsid w:val="1D6C5CA0"/>
    <w:rsid w:val="1D725586"/>
    <w:rsid w:val="1D745B4F"/>
    <w:rsid w:val="1D867987"/>
    <w:rsid w:val="1D944010"/>
    <w:rsid w:val="1DC114EE"/>
    <w:rsid w:val="1DD70E85"/>
    <w:rsid w:val="1DE74AD7"/>
    <w:rsid w:val="1DF60A19"/>
    <w:rsid w:val="1DFA6713"/>
    <w:rsid w:val="1E050843"/>
    <w:rsid w:val="1E2D3FB0"/>
    <w:rsid w:val="1E2E50F1"/>
    <w:rsid w:val="1E3B4E26"/>
    <w:rsid w:val="1EDF707D"/>
    <w:rsid w:val="1F394761"/>
    <w:rsid w:val="1F65664C"/>
    <w:rsid w:val="1F7C149A"/>
    <w:rsid w:val="1F84140D"/>
    <w:rsid w:val="1F9B7FFD"/>
    <w:rsid w:val="1F9C7614"/>
    <w:rsid w:val="1FBE1971"/>
    <w:rsid w:val="2008768D"/>
    <w:rsid w:val="204B327F"/>
    <w:rsid w:val="204C2B10"/>
    <w:rsid w:val="207D30AD"/>
    <w:rsid w:val="209064B9"/>
    <w:rsid w:val="20970D81"/>
    <w:rsid w:val="20AF2419"/>
    <w:rsid w:val="20D165D5"/>
    <w:rsid w:val="210878E6"/>
    <w:rsid w:val="210E1408"/>
    <w:rsid w:val="211069AD"/>
    <w:rsid w:val="21573FAB"/>
    <w:rsid w:val="2172069C"/>
    <w:rsid w:val="21987BC4"/>
    <w:rsid w:val="21BE314A"/>
    <w:rsid w:val="220451AB"/>
    <w:rsid w:val="2237486E"/>
    <w:rsid w:val="223D1378"/>
    <w:rsid w:val="22451BC7"/>
    <w:rsid w:val="22940650"/>
    <w:rsid w:val="22AD4B1E"/>
    <w:rsid w:val="22C43743"/>
    <w:rsid w:val="22D31DF3"/>
    <w:rsid w:val="22FD3CF7"/>
    <w:rsid w:val="232C221B"/>
    <w:rsid w:val="2356249E"/>
    <w:rsid w:val="236E713A"/>
    <w:rsid w:val="23700968"/>
    <w:rsid w:val="238761A6"/>
    <w:rsid w:val="23920578"/>
    <w:rsid w:val="23BB6F9A"/>
    <w:rsid w:val="23FC3864"/>
    <w:rsid w:val="24857B00"/>
    <w:rsid w:val="24F25212"/>
    <w:rsid w:val="251B0465"/>
    <w:rsid w:val="254B0AC6"/>
    <w:rsid w:val="25571AB6"/>
    <w:rsid w:val="25B40AD6"/>
    <w:rsid w:val="25BE7872"/>
    <w:rsid w:val="25BF702A"/>
    <w:rsid w:val="26390459"/>
    <w:rsid w:val="264D2D17"/>
    <w:rsid w:val="26D50E55"/>
    <w:rsid w:val="271A539C"/>
    <w:rsid w:val="273823FA"/>
    <w:rsid w:val="274972D4"/>
    <w:rsid w:val="27AA3D97"/>
    <w:rsid w:val="27DF73B7"/>
    <w:rsid w:val="280A3758"/>
    <w:rsid w:val="28292E99"/>
    <w:rsid w:val="289057C5"/>
    <w:rsid w:val="28A67C7A"/>
    <w:rsid w:val="28EA3248"/>
    <w:rsid w:val="28F879DA"/>
    <w:rsid w:val="294B7731"/>
    <w:rsid w:val="29514455"/>
    <w:rsid w:val="29530A33"/>
    <w:rsid w:val="29D21FF2"/>
    <w:rsid w:val="2A611B0F"/>
    <w:rsid w:val="2AC1762B"/>
    <w:rsid w:val="2AE845D0"/>
    <w:rsid w:val="2B4975FB"/>
    <w:rsid w:val="2B695031"/>
    <w:rsid w:val="2B735A8F"/>
    <w:rsid w:val="2BA7478D"/>
    <w:rsid w:val="2BB038DB"/>
    <w:rsid w:val="2BB761E0"/>
    <w:rsid w:val="2BB812F9"/>
    <w:rsid w:val="2BE35C27"/>
    <w:rsid w:val="2BFA504B"/>
    <w:rsid w:val="2BFF2BAC"/>
    <w:rsid w:val="2C681F1F"/>
    <w:rsid w:val="2C8608DC"/>
    <w:rsid w:val="2CA4764A"/>
    <w:rsid w:val="2CC42ECA"/>
    <w:rsid w:val="2CDA4349"/>
    <w:rsid w:val="2D225539"/>
    <w:rsid w:val="2D4618D2"/>
    <w:rsid w:val="2D5F021B"/>
    <w:rsid w:val="2D6E1286"/>
    <w:rsid w:val="2D70583E"/>
    <w:rsid w:val="2E0725DC"/>
    <w:rsid w:val="2E1B4BB8"/>
    <w:rsid w:val="2E256CB6"/>
    <w:rsid w:val="2E5F27E4"/>
    <w:rsid w:val="2EBD223E"/>
    <w:rsid w:val="2EC10AD1"/>
    <w:rsid w:val="2ECB6A5A"/>
    <w:rsid w:val="2EE65418"/>
    <w:rsid w:val="2EFC0112"/>
    <w:rsid w:val="2F0F6197"/>
    <w:rsid w:val="2F2B730D"/>
    <w:rsid w:val="2F9F3DC1"/>
    <w:rsid w:val="2FDD68F6"/>
    <w:rsid w:val="2FFC7AC2"/>
    <w:rsid w:val="301430AF"/>
    <w:rsid w:val="30630612"/>
    <w:rsid w:val="30746475"/>
    <w:rsid w:val="308E59B0"/>
    <w:rsid w:val="30B10568"/>
    <w:rsid w:val="30E55DD3"/>
    <w:rsid w:val="30E60399"/>
    <w:rsid w:val="31356AA5"/>
    <w:rsid w:val="313E22F0"/>
    <w:rsid w:val="31B0194C"/>
    <w:rsid w:val="31CE17D1"/>
    <w:rsid w:val="32270449"/>
    <w:rsid w:val="323E4515"/>
    <w:rsid w:val="3286389B"/>
    <w:rsid w:val="32994FDB"/>
    <w:rsid w:val="32CF5C94"/>
    <w:rsid w:val="32D337C7"/>
    <w:rsid w:val="32E200EC"/>
    <w:rsid w:val="32E5408B"/>
    <w:rsid w:val="32EB0D70"/>
    <w:rsid w:val="332824BC"/>
    <w:rsid w:val="332868BB"/>
    <w:rsid w:val="333211F3"/>
    <w:rsid w:val="33504B41"/>
    <w:rsid w:val="338B4A07"/>
    <w:rsid w:val="33944811"/>
    <w:rsid w:val="33CE0488"/>
    <w:rsid w:val="341D31EE"/>
    <w:rsid w:val="34262463"/>
    <w:rsid w:val="34296F31"/>
    <w:rsid w:val="34340A27"/>
    <w:rsid w:val="346A2989"/>
    <w:rsid w:val="348865E9"/>
    <w:rsid w:val="348F70D5"/>
    <w:rsid w:val="349D2BAD"/>
    <w:rsid w:val="34B25886"/>
    <w:rsid w:val="35277FF8"/>
    <w:rsid w:val="35763460"/>
    <w:rsid w:val="35776F72"/>
    <w:rsid w:val="35997371"/>
    <w:rsid w:val="35DD4D47"/>
    <w:rsid w:val="35FDAB06"/>
    <w:rsid w:val="360134DF"/>
    <w:rsid w:val="360B1E2F"/>
    <w:rsid w:val="360D500F"/>
    <w:rsid w:val="36330424"/>
    <w:rsid w:val="36FE3ABA"/>
    <w:rsid w:val="37072BDE"/>
    <w:rsid w:val="37455334"/>
    <w:rsid w:val="37527C32"/>
    <w:rsid w:val="376F0A96"/>
    <w:rsid w:val="37731921"/>
    <w:rsid w:val="37E509C0"/>
    <w:rsid w:val="37E96FB8"/>
    <w:rsid w:val="38222D85"/>
    <w:rsid w:val="38803721"/>
    <w:rsid w:val="38925A62"/>
    <w:rsid w:val="389F5F4F"/>
    <w:rsid w:val="38C36BA2"/>
    <w:rsid w:val="38E11CEF"/>
    <w:rsid w:val="38F6595C"/>
    <w:rsid w:val="391702A7"/>
    <w:rsid w:val="39286EB6"/>
    <w:rsid w:val="39601DF4"/>
    <w:rsid w:val="396960F3"/>
    <w:rsid w:val="39840D35"/>
    <w:rsid w:val="39A97DAF"/>
    <w:rsid w:val="39CD1330"/>
    <w:rsid w:val="39DD1AFF"/>
    <w:rsid w:val="3A2510B9"/>
    <w:rsid w:val="3A2B1DFC"/>
    <w:rsid w:val="3AA6422C"/>
    <w:rsid w:val="3AAF46D5"/>
    <w:rsid w:val="3AF562AE"/>
    <w:rsid w:val="3B135A0E"/>
    <w:rsid w:val="3B272BBC"/>
    <w:rsid w:val="3B374FEE"/>
    <w:rsid w:val="3B4410EE"/>
    <w:rsid w:val="3B56159C"/>
    <w:rsid w:val="3B596DF7"/>
    <w:rsid w:val="3B7D732B"/>
    <w:rsid w:val="3BD30423"/>
    <w:rsid w:val="3C6C0B58"/>
    <w:rsid w:val="3CBE41D5"/>
    <w:rsid w:val="3D446B0E"/>
    <w:rsid w:val="3D745844"/>
    <w:rsid w:val="3D953A6B"/>
    <w:rsid w:val="3DBB5979"/>
    <w:rsid w:val="3DD56F21"/>
    <w:rsid w:val="3DEF6699"/>
    <w:rsid w:val="3DFD4677"/>
    <w:rsid w:val="3E1057AF"/>
    <w:rsid w:val="3E6C0DFA"/>
    <w:rsid w:val="3E740322"/>
    <w:rsid w:val="3E7F4380"/>
    <w:rsid w:val="3E8D171B"/>
    <w:rsid w:val="3EA5630D"/>
    <w:rsid w:val="3EBA731B"/>
    <w:rsid w:val="3EE33949"/>
    <w:rsid w:val="3EFB5800"/>
    <w:rsid w:val="3F3B4E59"/>
    <w:rsid w:val="3F6E677C"/>
    <w:rsid w:val="3F712F46"/>
    <w:rsid w:val="3FBC0EF7"/>
    <w:rsid w:val="3FCD2AB9"/>
    <w:rsid w:val="3FCFF788"/>
    <w:rsid w:val="3FD17600"/>
    <w:rsid w:val="402E7C36"/>
    <w:rsid w:val="4050218A"/>
    <w:rsid w:val="405C7868"/>
    <w:rsid w:val="406C4254"/>
    <w:rsid w:val="408B24EB"/>
    <w:rsid w:val="408D1DBF"/>
    <w:rsid w:val="40C652D1"/>
    <w:rsid w:val="417044B8"/>
    <w:rsid w:val="41A203A0"/>
    <w:rsid w:val="41A25D3E"/>
    <w:rsid w:val="41C77987"/>
    <w:rsid w:val="41E83F8C"/>
    <w:rsid w:val="422D1842"/>
    <w:rsid w:val="425B7C31"/>
    <w:rsid w:val="427D66D0"/>
    <w:rsid w:val="42BC7E02"/>
    <w:rsid w:val="42C82575"/>
    <w:rsid w:val="43022EE1"/>
    <w:rsid w:val="431A5F8F"/>
    <w:rsid w:val="431F247A"/>
    <w:rsid w:val="43335E8F"/>
    <w:rsid w:val="433F2968"/>
    <w:rsid w:val="43655F7F"/>
    <w:rsid w:val="43676E20"/>
    <w:rsid w:val="43A31040"/>
    <w:rsid w:val="43BF774E"/>
    <w:rsid w:val="43CD062F"/>
    <w:rsid w:val="43E214F9"/>
    <w:rsid w:val="43F06264"/>
    <w:rsid w:val="44404C8E"/>
    <w:rsid w:val="444203FA"/>
    <w:rsid w:val="447537F1"/>
    <w:rsid w:val="44870D07"/>
    <w:rsid w:val="44D33826"/>
    <w:rsid w:val="45344EFF"/>
    <w:rsid w:val="45513D03"/>
    <w:rsid w:val="45541E1C"/>
    <w:rsid w:val="45FE7734"/>
    <w:rsid w:val="461F0A8B"/>
    <w:rsid w:val="4648721E"/>
    <w:rsid w:val="46663E71"/>
    <w:rsid w:val="466A37AC"/>
    <w:rsid w:val="468A1A00"/>
    <w:rsid w:val="46CB071B"/>
    <w:rsid w:val="46DE140B"/>
    <w:rsid w:val="46E77334"/>
    <w:rsid w:val="46F22E29"/>
    <w:rsid w:val="46F7142F"/>
    <w:rsid w:val="47107AE3"/>
    <w:rsid w:val="473C62ED"/>
    <w:rsid w:val="47617242"/>
    <w:rsid w:val="478C16C9"/>
    <w:rsid w:val="47BD246B"/>
    <w:rsid w:val="47CB2B0C"/>
    <w:rsid w:val="47E773CE"/>
    <w:rsid w:val="47EE148F"/>
    <w:rsid w:val="47EE2C9A"/>
    <w:rsid w:val="47EE71C5"/>
    <w:rsid w:val="47F00499"/>
    <w:rsid w:val="48015FF5"/>
    <w:rsid w:val="483820D2"/>
    <w:rsid w:val="48692CD0"/>
    <w:rsid w:val="48AE3D01"/>
    <w:rsid w:val="48B96318"/>
    <w:rsid w:val="49067B2F"/>
    <w:rsid w:val="49677E31"/>
    <w:rsid w:val="496C2225"/>
    <w:rsid w:val="49A35E02"/>
    <w:rsid w:val="49AE2880"/>
    <w:rsid w:val="49F42EAF"/>
    <w:rsid w:val="4A337323"/>
    <w:rsid w:val="4A5B28DC"/>
    <w:rsid w:val="4AA06B93"/>
    <w:rsid w:val="4ADB18EB"/>
    <w:rsid w:val="4B3A6FE7"/>
    <w:rsid w:val="4B96118E"/>
    <w:rsid w:val="4BAE1B66"/>
    <w:rsid w:val="4BC806E6"/>
    <w:rsid w:val="4BED4708"/>
    <w:rsid w:val="4BF133DC"/>
    <w:rsid w:val="4C2E4987"/>
    <w:rsid w:val="4C4117A4"/>
    <w:rsid w:val="4C507D4A"/>
    <w:rsid w:val="4CB65017"/>
    <w:rsid w:val="4CDF5563"/>
    <w:rsid w:val="4CFB2214"/>
    <w:rsid w:val="4D2C4D26"/>
    <w:rsid w:val="4D335E0E"/>
    <w:rsid w:val="4D4E4EA3"/>
    <w:rsid w:val="4D783E8C"/>
    <w:rsid w:val="4D9A5B1B"/>
    <w:rsid w:val="4DA55D85"/>
    <w:rsid w:val="4DBB20DB"/>
    <w:rsid w:val="4DDC3F22"/>
    <w:rsid w:val="4DE66FB2"/>
    <w:rsid w:val="4DEC6CB8"/>
    <w:rsid w:val="4E1040C7"/>
    <w:rsid w:val="4E1760BF"/>
    <w:rsid w:val="4E30647F"/>
    <w:rsid w:val="4EBA03C3"/>
    <w:rsid w:val="4EBC5459"/>
    <w:rsid w:val="4ED94CB0"/>
    <w:rsid w:val="4EEC2ED3"/>
    <w:rsid w:val="4F0E56EA"/>
    <w:rsid w:val="4F2E11BC"/>
    <w:rsid w:val="4F326DA2"/>
    <w:rsid w:val="4F3C4343"/>
    <w:rsid w:val="4F416688"/>
    <w:rsid w:val="4F5620B0"/>
    <w:rsid w:val="4F616EB4"/>
    <w:rsid w:val="4F6654EE"/>
    <w:rsid w:val="4F7379C6"/>
    <w:rsid w:val="4F872BDB"/>
    <w:rsid w:val="4F934F18"/>
    <w:rsid w:val="4FA033E9"/>
    <w:rsid w:val="4FA743DA"/>
    <w:rsid w:val="4FB3565A"/>
    <w:rsid w:val="4FC4714D"/>
    <w:rsid w:val="503D1C79"/>
    <w:rsid w:val="5072771C"/>
    <w:rsid w:val="507A6406"/>
    <w:rsid w:val="50853863"/>
    <w:rsid w:val="508A4590"/>
    <w:rsid w:val="50F1461D"/>
    <w:rsid w:val="50FE5411"/>
    <w:rsid w:val="510B072E"/>
    <w:rsid w:val="511B0BF4"/>
    <w:rsid w:val="51264306"/>
    <w:rsid w:val="514E62C9"/>
    <w:rsid w:val="516123CE"/>
    <w:rsid w:val="51932FAD"/>
    <w:rsid w:val="51B177A9"/>
    <w:rsid w:val="51E066EB"/>
    <w:rsid w:val="52640E8B"/>
    <w:rsid w:val="5267570A"/>
    <w:rsid w:val="52707792"/>
    <w:rsid w:val="52A12CDC"/>
    <w:rsid w:val="52DF0C92"/>
    <w:rsid w:val="52E1159C"/>
    <w:rsid w:val="52E34D6A"/>
    <w:rsid w:val="531E524E"/>
    <w:rsid w:val="534072EB"/>
    <w:rsid w:val="537648BE"/>
    <w:rsid w:val="538E2D0B"/>
    <w:rsid w:val="53922782"/>
    <w:rsid w:val="539C1424"/>
    <w:rsid w:val="53A639C0"/>
    <w:rsid w:val="53F00A24"/>
    <w:rsid w:val="53F63DBA"/>
    <w:rsid w:val="5448624E"/>
    <w:rsid w:val="546E2B1A"/>
    <w:rsid w:val="5482555F"/>
    <w:rsid w:val="54A31DD8"/>
    <w:rsid w:val="54AA6F8B"/>
    <w:rsid w:val="54D26583"/>
    <w:rsid w:val="55363E67"/>
    <w:rsid w:val="554D5578"/>
    <w:rsid w:val="556E6DF7"/>
    <w:rsid w:val="55965CE3"/>
    <w:rsid w:val="559D47CE"/>
    <w:rsid w:val="55BE1959"/>
    <w:rsid w:val="55C0134C"/>
    <w:rsid w:val="56232437"/>
    <w:rsid w:val="562D39F0"/>
    <w:rsid w:val="56541A75"/>
    <w:rsid w:val="568832FC"/>
    <w:rsid w:val="568C4181"/>
    <w:rsid w:val="570725A9"/>
    <w:rsid w:val="5714693E"/>
    <w:rsid w:val="571D0C9C"/>
    <w:rsid w:val="573A16CE"/>
    <w:rsid w:val="579C7F80"/>
    <w:rsid w:val="57B30D7C"/>
    <w:rsid w:val="57F9AC10"/>
    <w:rsid w:val="58166B03"/>
    <w:rsid w:val="583E3C94"/>
    <w:rsid w:val="58721734"/>
    <w:rsid w:val="58900246"/>
    <w:rsid w:val="58977358"/>
    <w:rsid w:val="58D53944"/>
    <w:rsid w:val="58D65478"/>
    <w:rsid w:val="58F52487"/>
    <w:rsid w:val="590422E6"/>
    <w:rsid w:val="592257E5"/>
    <w:rsid w:val="59655E33"/>
    <w:rsid w:val="59CF5BD9"/>
    <w:rsid w:val="59E20C3C"/>
    <w:rsid w:val="5A1D5B0A"/>
    <w:rsid w:val="5A3B4B4E"/>
    <w:rsid w:val="5A4804CA"/>
    <w:rsid w:val="5A594C85"/>
    <w:rsid w:val="5A8842AA"/>
    <w:rsid w:val="5AEB1E3C"/>
    <w:rsid w:val="5B2507CA"/>
    <w:rsid w:val="5B2A474A"/>
    <w:rsid w:val="5B2D237E"/>
    <w:rsid w:val="5B830730"/>
    <w:rsid w:val="5BBB2DD6"/>
    <w:rsid w:val="5BE263B6"/>
    <w:rsid w:val="5C8E5C5A"/>
    <w:rsid w:val="5C965E61"/>
    <w:rsid w:val="5CF0089C"/>
    <w:rsid w:val="5CF5796F"/>
    <w:rsid w:val="5D242A11"/>
    <w:rsid w:val="5D9217C2"/>
    <w:rsid w:val="5DAD06BF"/>
    <w:rsid w:val="5DC92CE9"/>
    <w:rsid w:val="5DE23CB3"/>
    <w:rsid w:val="5DE97EEC"/>
    <w:rsid w:val="5DFA5EB0"/>
    <w:rsid w:val="5E000E4D"/>
    <w:rsid w:val="5E0B583E"/>
    <w:rsid w:val="5E201A7B"/>
    <w:rsid w:val="5EA45884"/>
    <w:rsid w:val="5EBD0484"/>
    <w:rsid w:val="5F2C5C7C"/>
    <w:rsid w:val="5F36141C"/>
    <w:rsid w:val="5FC5273F"/>
    <w:rsid w:val="604F6C39"/>
    <w:rsid w:val="60806DF2"/>
    <w:rsid w:val="61072DA5"/>
    <w:rsid w:val="611C0817"/>
    <w:rsid w:val="61224A52"/>
    <w:rsid w:val="61520CCB"/>
    <w:rsid w:val="61851A29"/>
    <w:rsid w:val="622D1522"/>
    <w:rsid w:val="622E0574"/>
    <w:rsid w:val="62683B6B"/>
    <w:rsid w:val="6275761C"/>
    <w:rsid w:val="62816E52"/>
    <w:rsid w:val="62AB7BE6"/>
    <w:rsid w:val="62AC5944"/>
    <w:rsid w:val="632F3F8A"/>
    <w:rsid w:val="63716241"/>
    <w:rsid w:val="637279B4"/>
    <w:rsid w:val="63817D2B"/>
    <w:rsid w:val="63BD1FA9"/>
    <w:rsid w:val="63D175D1"/>
    <w:rsid w:val="63D27965"/>
    <w:rsid w:val="63F4667E"/>
    <w:rsid w:val="64095516"/>
    <w:rsid w:val="641A2468"/>
    <w:rsid w:val="64372F20"/>
    <w:rsid w:val="648944D0"/>
    <w:rsid w:val="64DC72D7"/>
    <w:rsid w:val="64FA42B4"/>
    <w:rsid w:val="653619A6"/>
    <w:rsid w:val="65610A02"/>
    <w:rsid w:val="65A11EA3"/>
    <w:rsid w:val="65AC3D66"/>
    <w:rsid w:val="65BB5334"/>
    <w:rsid w:val="663E1DBA"/>
    <w:rsid w:val="665D0213"/>
    <w:rsid w:val="668506C7"/>
    <w:rsid w:val="669E59F1"/>
    <w:rsid w:val="66A2024B"/>
    <w:rsid w:val="6704732B"/>
    <w:rsid w:val="670F6731"/>
    <w:rsid w:val="67585CB0"/>
    <w:rsid w:val="67770F0C"/>
    <w:rsid w:val="67B03535"/>
    <w:rsid w:val="68174F69"/>
    <w:rsid w:val="682C436A"/>
    <w:rsid w:val="68382778"/>
    <w:rsid w:val="68391F41"/>
    <w:rsid w:val="68436B8C"/>
    <w:rsid w:val="68797358"/>
    <w:rsid w:val="6884624F"/>
    <w:rsid w:val="68A519DF"/>
    <w:rsid w:val="68C4160B"/>
    <w:rsid w:val="68C41C30"/>
    <w:rsid w:val="68CF3BA4"/>
    <w:rsid w:val="69257FA7"/>
    <w:rsid w:val="693F26C7"/>
    <w:rsid w:val="697E12B2"/>
    <w:rsid w:val="69853FB0"/>
    <w:rsid w:val="69C8706D"/>
    <w:rsid w:val="6A0E3FB4"/>
    <w:rsid w:val="6A292754"/>
    <w:rsid w:val="6A5E3B28"/>
    <w:rsid w:val="6A6B1EBE"/>
    <w:rsid w:val="6A8F43F7"/>
    <w:rsid w:val="6AD625F3"/>
    <w:rsid w:val="6B7218BE"/>
    <w:rsid w:val="6B750BA9"/>
    <w:rsid w:val="6BB93285"/>
    <w:rsid w:val="6BEDF527"/>
    <w:rsid w:val="6C0C698C"/>
    <w:rsid w:val="6C222401"/>
    <w:rsid w:val="6C56267F"/>
    <w:rsid w:val="6C826EF9"/>
    <w:rsid w:val="6CAE4C93"/>
    <w:rsid w:val="6CB14F16"/>
    <w:rsid w:val="6CEC2069"/>
    <w:rsid w:val="6D0B1869"/>
    <w:rsid w:val="6D65402D"/>
    <w:rsid w:val="6D683822"/>
    <w:rsid w:val="6D8D136C"/>
    <w:rsid w:val="6DBF2759"/>
    <w:rsid w:val="6DC96F36"/>
    <w:rsid w:val="6DFA3EBF"/>
    <w:rsid w:val="6E3E63D2"/>
    <w:rsid w:val="6E5F7BE6"/>
    <w:rsid w:val="6E6918C6"/>
    <w:rsid w:val="6EEB4AC4"/>
    <w:rsid w:val="6F212DD6"/>
    <w:rsid w:val="6F3B5912"/>
    <w:rsid w:val="6FA14A81"/>
    <w:rsid w:val="6FA3261F"/>
    <w:rsid w:val="6FB44BAA"/>
    <w:rsid w:val="6FD78D8A"/>
    <w:rsid w:val="6FFDCF89"/>
    <w:rsid w:val="700D6539"/>
    <w:rsid w:val="704203E3"/>
    <w:rsid w:val="7058046B"/>
    <w:rsid w:val="707F2079"/>
    <w:rsid w:val="70922734"/>
    <w:rsid w:val="70CD16CB"/>
    <w:rsid w:val="70CE6DC7"/>
    <w:rsid w:val="710B3646"/>
    <w:rsid w:val="711759F2"/>
    <w:rsid w:val="713C4ED8"/>
    <w:rsid w:val="71407642"/>
    <w:rsid w:val="71641210"/>
    <w:rsid w:val="71D95B7C"/>
    <w:rsid w:val="71EA6A50"/>
    <w:rsid w:val="71FE31A8"/>
    <w:rsid w:val="720C30AE"/>
    <w:rsid w:val="721A7983"/>
    <w:rsid w:val="721F6113"/>
    <w:rsid w:val="7233782C"/>
    <w:rsid w:val="729C0443"/>
    <w:rsid w:val="73177841"/>
    <w:rsid w:val="733774FE"/>
    <w:rsid w:val="73617E1B"/>
    <w:rsid w:val="736D7653"/>
    <w:rsid w:val="738035CB"/>
    <w:rsid w:val="73852C46"/>
    <w:rsid w:val="7396335C"/>
    <w:rsid w:val="73F46595"/>
    <w:rsid w:val="74283FA2"/>
    <w:rsid w:val="742C135B"/>
    <w:rsid w:val="74463733"/>
    <w:rsid w:val="748A2F40"/>
    <w:rsid w:val="74D84FF7"/>
    <w:rsid w:val="74F85778"/>
    <w:rsid w:val="75272439"/>
    <w:rsid w:val="758F1E9B"/>
    <w:rsid w:val="75CE266B"/>
    <w:rsid w:val="75DD86E9"/>
    <w:rsid w:val="76120141"/>
    <w:rsid w:val="768216BE"/>
    <w:rsid w:val="76924256"/>
    <w:rsid w:val="76C23B43"/>
    <w:rsid w:val="76FD6F97"/>
    <w:rsid w:val="770218E8"/>
    <w:rsid w:val="779469CE"/>
    <w:rsid w:val="77C875A5"/>
    <w:rsid w:val="787457FC"/>
    <w:rsid w:val="78A27DF6"/>
    <w:rsid w:val="79285B3A"/>
    <w:rsid w:val="79490B03"/>
    <w:rsid w:val="79625CA9"/>
    <w:rsid w:val="79A91196"/>
    <w:rsid w:val="7A0B32D3"/>
    <w:rsid w:val="7AC13CD3"/>
    <w:rsid w:val="7AE10264"/>
    <w:rsid w:val="7AE4248E"/>
    <w:rsid w:val="7AF47613"/>
    <w:rsid w:val="7B4A207F"/>
    <w:rsid w:val="7B550C59"/>
    <w:rsid w:val="7B936F45"/>
    <w:rsid w:val="7BA47419"/>
    <w:rsid w:val="7BB10D45"/>
    <w:rsid w:val="7BB44151"/>
    <w:rsid w:val="7C656A39"/>
    <w:rsid w:val="7CB93996"/>
    <w:rsid w:val="7CBE0F99"/>
    <w:rsid w:val="7D093576"/>
    <w:rsid w:val="7D115EA6"/>
    <w:rsid w:val="7D4E45F1"/>
    <w:rsid w:val="7DFB6D82"/>
    <w:rsid w:val="7DFED4AA"/>
    <w:rsid w:val="7E1D71D1"/>
    <w:rsid w:val="7E246254"/>
    <w:rsid w:val="7E553215"/>
    <w:rsid w:val="7E6D090F"/>
    <w:rsid w:val="7ECC66B2"/>
    <w:rsid w:val="7F2914C3"/>
    <w:rsid w:val="7F5F2ED6"/>
    <w:rsid w:val="7F7BD542"/>
    <w:rsid w:val="7FA837EF"/>
    <w:rsid w:val="7FBC9352"/>
    <w:rsid w:val="7FC36955"/>
    <w:rsid w:val="7FE903A0"/>
    <w:rsid w:val="7FF07065"/>
    <w:rsid w:val="7FF97946"/>
    <w:rsid w:val="7FFE7888"/>
    <w:rsid w:val="7FFFB5DB"/>
    <w:rsid w:val="8E7B9B6B"/>
    <w:rsid w:val="9FFBFF3B"/>
    <w:rsid w:val="A3BFD1C8"/>
    <w:rsid w:val="AFFFAB52"/>
    <w:rsid w:val="B73F34E5"/>
    <w:rsid w:val="B8E28D64"/>
    <w:rsid w:val="BFA54E51"/>
    <w:rsid w:val="CDFC0DEF"/>
    <w:rsid w:val="D3E60E83"/>
    <w:rsid w:val="DB4FE050"/>
    <w:rsid w:val="DBFEF0D2"/>
    <w:rsid w:val="DFBD6FEF"/>
    <w:rsid w:val="E2DE949D"/>
    <w:rsid w:val="E4C8A119"/>
    <w:rsid w:val="E7F4D2DA"/>
    <w:rsid w:val="E9EF6F43"/>
    <w:rsid w:val="EBF02B0F"/>
    <w:rsid w:val="EEE74D43"/>
    <w:rsid w:val="EF7BA4A3"/>
    <w:rsid w:val="EFEFA57D"/>
    <w:rsid w:val="F65F61B1"/>
    <w:rsid w:val="F997E54E"/>
    <w:rsid w:val="FA7BD81E"/>
    <w:rsid w:val="FAF7E9AA"/>
    <w:rsid w:val="FB4C53D1"/>
    <w:rsid w:val="FBEF8F85"/>
    <w:rsid w:val="FCF3508D"/>
    <w:rsid w:val="FCFD37B6"/>
    <w:rsid w:val="FD6FC958"/>
    <w:rsid w:val="FDF7B17C"/>
    <w:rsid w:val="FEF7CD5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cs="宋体" w:asciiTheme="minorHAnsi" w:hAnsiTheme="minorHAnsi" w:eastAsiaTheme="minorEastAsia"/>
      <w:sz w:val="24"/>
      <w:szCs w:val="24"/>
      <w:lang w:val="en-US" w:eastAsia="zh-CN" w:bidi="ar-SA"/>
    </w:rPr>
  </w:style>
  <w:style w:type="paragraph" w:styleId="2">
    <w:name w:val="heading 1"/>
    <w:basedOn w:val="1"/>
    <w:next w:val="1"/>
    <w:qFormat/>
    <w:uiPriority w:val="0"/>
    <w:pPr>
      <w:keepNext/>
      <w:keepLines/>
      <w:numPr>
        <w:ilvl w:val="0"/>
        <w:numId w:val="1"/>
      </w:numPr>
      <w:adjustRightInd w:val="0"/>
      <w:snapToGrid w:val="0"/>
      <w:spacing w:before="340" w:afterLines="50" w:line="578" w:lineRule="auto"/>
      <w:jc w:val="left"/>
      <w:outlineLvl w:val="0"/>
    </w:pPr>
    <w:rPr>
      <w:rFonts w:ascii="Times New Roman" w:hAnsi="Times New Roman" w:eastAsia="仿宋" w:cs="Times New Roman"/>
      <w:b/>
      <w:bCs/>
      <w:kern w:val="44"/>
      <w:sz w:val="36"/>
      <w:szCs w:val="44"/>
    </w:rPr>
  </w:style>
  <w:style w:type="paragraph" w:styleId="3">
    <w:name w:val="heading 2"/>
    <w:basedOn w:val="1"/>
    <w:next w:val="1"/>
    <w:link w:val="15"/>
    <w:semiHidden/>
    <w:unhideWhenUsed/>
    <w:qFormat/>
    <w:uiPriority w:val="9"/>
    <w:pPr>
      <w:numPr>
        <w:ilvl w:val="1"/>
        <w:numId w:val="1"/>
      </w:numPr>
      <w:spacing w:line="416" w:lineRule="auto"/>
      <w:outlineLvl w:val="1"/>
    </w:pPr>
    <w:rPr>
      <w:rFonts w:ascii="Calibri Light" w:hAnsi="Calibri Light" w:eastAsia="宋体" w:cs="Times New Roman"/>
      <w:b/>
      <w:bCs/>
      <w:sz w:val="28"/>
      <w:szCs w:val="32"/>
    </w:rPr>
  </w:style>
  <w:style w:type="paragraph" w:styleId="4">
    <w:name w:val="heading 3"/>
    <w:basedOn w:val="1"/>
    <w:next w:val="1"/>
    <w:semiHidden/>
    <w:unhideWhenUsed/>
    <w:qFormat/>
    <w:uiPriority w:val="9"/>
    <w:pPr>
      <w:keepNext/>
      <w:keepLines/>
      <w:numPr>
        <w:ilvl w:val="2"/>
        <w:numId w:val="1"/>
      </w:numPr>
      <w:spacing w:beforeLines="50" w:afterLines="50" w:line="416" w:lineRule="auto"/>
      <w:outlineLvl w:val="2"/>
    </w:pPr>
    <w:rPr>
      <w:rFonts w:ascii="宋体" w:hAnsi="宋体" w:eastAsia="宋体"/>
      <w:b/>
      <w:bCs/>
      <w:sz w:val="32"/>
    </w:rPr>
  </w:style>
  <w:style w:type="paragraph" w:styleId="5">
    <w:name w:val="heading 4"/>
    <w:basedOn w:val="1"/>
    <w:next w:val="1"/>
    <w:semiHidden/>
    <w:unhideWhenUsed/>
    <w:qFormat/>
    <w:uiPriority w:val="9"/>
    <w:pPr>
      <w:keepNext/>
      <w:keepLines/>
      <w:numPr>
        <w:ilvl w:val="3"/>
        <w:numId w:val="1"/>
      </w:numPr>
      <w:spacing w:before="120" w:after="120"/>
      <w:outlineLvl w:val="3"/>
    </w:pPr>
    <w:rPr>
      <w:rFonts w:ascii="Calibri Light" w:hAnsi="Calibri Light" w:eastAsia="宋体" w:cs="Times New Roman"/>
      <w:b/>
      <w:bCs/>
      <w:sz w:val="28"/>
      <w:szCs w:val="28"/>
    </w:rPr>
  </w:style>
  <w:style w:type="character" w:default="1" w:styleId="13">
    <w:name w:val="Default Paragraph Font"/>
    <w:semiHidden/>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semiHidden/>
    <w:unhideWhenUsed/>
    <w:qFormat/>
    <w:uiPriority w:val="99"/>
    <w:pPr>
      <w:jc w:val="left"/>
    </w:pPr>
  </w:style>
  <w:style w:type="paragraph" w:styleId="7">
    <w:name w:val="Balloon Text"/>
    <w:basedOn w:val="1"/>
    <w:link w:val="24"/>
    <w:unhideWhenUsed/>
    <w:qFormat/>
    <w:uiPriority w:val="99"/>
    <w:rPr>
      <w:rFonts w:cstheme="minorBidi"/>
      <w:kern w:val="2"/>
      <w:sz w:val="18"/>
      <w:szCs w:val="18"/>
    </w:rPr>
  </w:style>
  <w:style w:type="paragraph" w:styleId="8">
    <w:name w:val="footer"/>
    <w:basedOn w:val="1"/>
    <w:link w:val="16"/>
    <w:qFormat/>
    <w:uiPriority w:val="99"/>
    <w:pPr>
      <w:tabs>
        <w:tab w:val="center" w:pos="4153"/>
        <w:tab w:val="right" w:pos="8306"/>
      </w:tabs>
      <w:snapToGrid w:val="0"/>
      <w:jc w:val="left"/>
    </w:pPr>
    <w:rPr>
      <w:rFonts w:cstheme="minorBidi"/>
      <w:kern w:val="2"/>
      <w:sz w:val="18"/>
      <w:szCs w:val="18"/>
    </w:rPr>
  </w:style>
  <w:style w:type="paragraph" w:styleId="9">
    <w:name w:val="header"/>
    <w:basedOn w:val="1"/>
    <w:link w:val="17"/>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center"/>
    </w:pPr>
    <w:rPr>
      <w:rFonts w:cstheme="minorBidi"/>
      <w:kern w:val="2"/>
      <w:sz w:val="18"/>
      <w:szCs w:val="18"/>
    </w:rPr>
  </w:style>
  <w:style w:type="paragraph" w:styleId="10">
    <w:name w:val="Normal (Web)"/>
    <w:basedOn w:val="1"/>
    <w:semiHidden/>
    <w:unhideWhenUsed/>
    <w:qFormat/>
    <w:uiPriority w:val="99"/>
    <w:pPr>
      <w:spacing w:beforeAutospacing="1" w:afterAutospacing="1"/>
      <w:jc w:val="left"/>
    </w:pPr>
    <w:rPr>
      <w:rFonts w:cs="Times New Roman"/>
    </w:rPr>
  </w:style>
  <w:style w:type="table" w:styleId="12">
    <w:name w:val="Table Grid"/>
    <w:qFormat/>
    <w:uiPriority w:val="0"/>
    <w:rPr>
      <w:sz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4">
    <w:name w:val="Strong"/>
    <w:basedOn w:val="13"/>
    <w:qFormat/>
    <w:uiPriority w:val="22"/>
    <w:rPr>
      <w:b/>
    </w:rPr>
  </w:style>
  <w:style w:type="character" w:customStyle="1" w:styleId="15">
    <w:name w:val="标题 2 Char"/>
    <w:link w:val="3"/>
    <w:qFormat/>
    <w:uiPriority w:val="0"/>
    <w:rPr>
      <w:rFonts w:ascii="Calibri Light" w:hAnsi="Calibri Light" w:eastAsia="宋体" w:cs="Times New Roman"/>
      <w:b/>
      <w:bCs/>
      <w:sz w:val="28"/>
      <w:szCs w:val="32"/>
    </w:rPr>
  </w:style>
  <w:style w:type="character" w:customStyle="1" w:styleId="16">
    <w:name w:val="页脚 Char"/>
    <w:basedOn w:val="13"/>
    <w:link w:val="8"/>
    <w:qFormat/>
    <w:uiPriority w:val="99"/>
    <w:rPr>
      <w:rFonts w:asciiTheme="minorHAnsi" w:hAnsiTheme="minorHAnsi" w:eastAsiaTheme="minorEastAsia" w:cstheme="minorBidi"/>
      <w:sz w:val="18"/>
      <w:szCs w:val="18"/>
      <w:lang w:val="en-US" w:eastAsia="zh-CN" w:bidi="ar-SA"/>
    </w:rPr>
  </w:style>
  <w:style w:type="character" w:customStyle="1" w:styleId="17">
    <w:name w:val="页眉 Char"/>
    <w:basedOn w:val="13"/>
    <w:link w:val="9"/>
    <w:qFormat/>
    <w:uiPriority w:val="0"/>
    <w:rPr>
      <w:rFonts w:asciiTheme="minorHAnsi" w:hAnsiTheme="minorHAnsi" w:eastAsiaTheme="minorEastAsia" w:cstheme="minorBidi"/>
      <w:sz w:val="18"/>
      <w:szCs w:val="18"/>
      <w:lang w:val="en-US" w:eastAsia="zh-CN" w:bidi="ar-SA"/>
    </w:rPr>
  </w:style>
  <w:style w:type="character" w:customStyle="1" w:styleId="18">
    <w:name w:val="font11"/>
    <w:basedOn w:val="13"/>
    <w:qFormat/>
    <w:uiPriority w:val="0"/>
    <w:rPr>
      <w:rFonts w:hint="eastAsia" w:ascii="宋体" w:hAnsi="宋体" w:eastAsia="宋体" w:cs="宋体"/>
      <w:color w:val="000000"/>
      <w:sz w:val="20"/>
      <w:szCs w:val="20"/>
      <w:u w:val="none"/>
      <w:lang w:val="en-US" w:eastAsia="zh-CN" w:bidi="ar-SA"/>
    </w:rPr>
  </w:style>
  <w:style w:type="character" w:customStyle="1" w:styleId="19">
    <w:name w:val="font01"/>
    <w:basedOn w:val="13"/>
    <w:qFormat/>
    <w:uiPriority w:val="0"/>
    <w:rPr>
      <w:rFonts w:hint="eastAsia" w:ascii="宋体" w:hAnsi="宋体" w:eastAsia="宋体" w:cs="宋体"/>
      <w:color w:val="000000"/>
      <w:sz w:val="22"/>
      <w:szCs w:val="22"/>
      <w:u w:val="none"/>
      <w:lang w:val="en-US" w:eastAsia="zh-CN" w:bidi="ar-SA"/>
    </w:rPr>
  </w:style>
  <w:style w:type="character" w:customStyle="1" w:styleId="20">
    <w:name w:val="font41"/>
    <w:basedOn w:val="13"/>
    <w:qFormat/>
    <w:uiPriority w:val="0"/>
    <w:rPr>
      <w:rFonts w:hint="eastAsia" w:ascii="宋体" w:hAnsi="宋体" w:eastAsia="宋体" w:cs="宋体"/>
      <w:color w:val="000000"/>
      <w:sz w:val="24"/>
      <w:szCs w:val="24"/>
      <w:u w:val="none"/>
      <w:lang w:val="en-US" w:eastAsia="zh-CN" w:bidi="ar-SA"/>
    </w:rPr>
  </w:style>
  <w:style w:type="character" w:customStyle="1" w:styleId="21">
    <w:name w:val="font31"/>
    <w:basedOn w:val="13"/>
    <w:qFormat/>
    <w:uiPriority w:val="0"/>
    <w:rPr>
      <w:rFonts w:hint="eastAsia" w:ascii="华文中宋" w:hAnsi="华文中宋" w:eastAsia="华文中宋" w:cs="华文中宋"/>
      <w:color w:val="000000"/>
      <w:sz w:val="32"/>
      <w:szCs w:val="32"/>
      <w:u w:val="none"/>
      <w:lang w:val="en-US" w:eastAsia="zh-CN" w:bidi="ar-SA"/>
    </w:rPr>
  </w:style>
  <w:style w:type="character" w:customStyle="1" w:styleId="22">
    <w:name w:val="font91"/>
    <w:basedOn w:val="13"/>
    <w:qFormat/>
    <w:uiPriority w:val="0"/>
    <w:rPr>
      <w:rFonts w:hint="eastAsia" w:ascii="华文中宋" w:hAnsi="华文中宋" w:eastAsia="华文中宋" w:cs="华文中宋"/>
      <w:color w:val="000000"/>
      <w:sz w:val="32"/>
      <w:szCs w:val="32"/>
      <w:u w:val="none"/>
      <w:lang w:val="en-US" w:eastAsia="zh-CN" w:bidi="ar-SA"/>
    </w:rPr>
  </w:style>
  <w:style w:type="character" w:customStyle="1" w:styleId="23">
    <w:name w:val="font51"/>
    <w:basedOn w:val="13"/>
    <w:qFormat/>
    <w:uiPriority w:val="0"/>
    <w:rPr>
      <w:rFonts w:hint="eastAsia" w:ascii="宋体" w:hAnsi="宋体" w:eastAsia="宋体" w:cs="宋体"/>
      <w:color w:val="000000"/>
      <w:sz w:val="24"/>
      <w:szCs w:val="24"/>
      <w:u w:val="none"/>
      <w:lang w:val="en-US" w:eastAsia="zh-CN" w:bidi="ar-SA"/>
    </w:rPr>
  </w:style>
  <w:style w:type="character" w:customStyle="1" w:styleId="24">
    <w:name w:val="批注框文本 Char"/>
    <w:basedOn w:val="13"/>
    <w:link w:val="7"/>
    <w:semiHidden/>
    <w:qFormat/>
    <w:uiPriority w:val="99"/>
    <w:rPr>
      <w:rFonts w:asciiTheme="minorHAnsi" w:hAnsiTheme="minorHAnsi" w:eastAsiaTheme="minorEastAsia" w:cstheme="minorBidi"/>
      <w:sz w:val="18"/>
      <w:szCs w:val="18"/>
      <w:lang w:val="en-US" w:eastAsia="zh-CN" w:bidi="ar-SA"/>
    </w:rPr>
  </w:style>
  <w:style w:type="character" w:customStyle="1" w:styleId="25">
    <w:name w:val="font71"/>
    <w:basedOn w:val="13"/>
    <w:qFormat/>
    <w:uiPriority w:val="0"/>
    <w:rPr>
      <w:rFonts w:ascii="Arial" w:hAnsi="Arial" w:cs="Arial"/>
      <w:color w:val="000000"/>
      <w:sz w:val="20"/>
      <w:szCs w:val="20"/>
      <w:u w:val="none"/>
    </w:rPr>
  </w:style>
  <w:style w:type="character" w:customStyle="1" w:styleId="26">
    <w:name w:val="font61"/>
    <w:basedOn w:val="13"/>
    <w:qFormat/>
    <w:uiPriority w:val="0"/>
    <w:rPr>
      <w:rFonts w:hint="eastAsia" w:ascii="宋体" w:hAnsi="宋体" w:eastAsia="宋体" w:cs="宋体"/>
      <w:color w:val="000000"/>
      <w:sz w:val="20"/>
      <w:szCs w:val="20"/>
      <w:u w:val="none"/>
    </w:rPr>
  </w:style>
  <w:style w:type="character" w:customStyle="1" w:styleId="27">
    <w:name w:val="font21"/>
    <w:basedOn w:val="13"/>
    <w:qFormat/>
    <w:uiPriority w:val="0"/>
    <w:rPr>
      <w:rFonts w:hint="eastAsia" w:ascii="宋体" w:hAnsi="宋体" w:eastAsia="宋体" w:cs="宋体"/>
      <w:color w:val="000000"/>
      <w:sz w:val="20"/>
      <w:szCs w:val="20"/>
      <w:u w:val="none"/>
    </w:rPr>
  </w:style>
  <w:style w:type="paragraph" w:customStyle="1" w:styleId="28">
    <w:name w:val="p1"/>
    <w:basedOn w:val="1"/>
    <w:qFormat/>
    <w:uiPriority w:val="0"/>
    <w:pPr>
      <w:jc w:val="left"/>
    </w:pPr>
    <w:rPr>
      <w:rFonts w:ascii="Helvetica" w:hAnsi="Helvetica" w:eastAsia="Helvetica" w:cs="Times New Roman"/>
      <w:color w:val="000000"/>
      <w:sz w:val="30"/>
      <w:szCs w:val="3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32</Pages>
  <Words>1742</Words>
  <Characters>9931</Characters>
  <Lines>82</Lines>
  <Paragraphs>23</Paragraphs>
  <TotalTime>12</TotalTime>
  <ScaleCrop>false</ScaleCrop>
  <LinksUpToDate>false</LinksUpToDate>
  <CharactersWithSpaces>11650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2023-08-06T23:55:00Z</dcterms:created>
  <dc:creator>王明新TIAD</dc:creator>
  <cp:lastModifiedBy>Administrator</cp:lastModifiedBy>
  <cp:lastPrinted>2023-08-06T17:00:00Z</cp:lastPrinted>
  <dcterms:modified xsi:type="dcterms:W3CDTF">2025-09-28T07:20:12Z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4DD241A32C2A74221E599C68814E8004_43</vt:lpwstr>
  </property>
  <property fmtid="{D5CDD505-2E9C-101B-9397-08002B2CF9AE}" pid="4" name="KSOTemplateUUID">
    <vt:lpwstr>v1.0_mb_S7ajbG3IpAnL1wSthNCxfw==</vt:lpwstr>
  </property>
  <property fmtid="{D5CDD505-2E9C-101B-9397-08002B2CF9AE}" pid="5" name="KSOTemplateDocerSaveRecord">
    <vt:lpwstr>eyJoZGlkIjoiODczM2M4Y2Y4MWZjZmRiODkyNDdiNmU1ZGM2NGRkOWEiLCJ1c2VySWQiOiI1OTM0MzU5MTkifQ==</vt:lpwstr>
  </property>
</Properties>
</file>