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auto"/>
        <w:rPr>
          <w:rFonts w:asciiTheme="minorEastAsia" w:hAnsiTheme="minorEastAsia" w:cstheme="minorEastAsia"/>
          <w:color w:val="000000"/>
          <w:sz w:val="22"/>
          <w:szCs w:val="22"/>
        </w:rPr>
      </w:pPr>
    </w:p>
    <w:p>
      <w:pPr>
        <w:spacing w:line="600" w:lineRule="auto"/>
        <w:rPr>
          <w:rFonts w:asciiTheme="minorEastAsia" w:hAnsiTheme="minorEastAsia" w:cstheme="minorEastAsia"/>
          <w:color w:val="000000"/>
          <w:sz w:val="22"/>
          <w:szCs w:val="22"/>
        </w:rPr>
      </w:pPr>
    </w:p>
    <w:p>
      <w:pPr>
        <w:spacing w:line="600" w:lineRule="auto"/>
        <w:rPr>
          <w:rFonts w:asciiTheme="minorEastAsia" w:hAnsiTheme="minorEastAsia" w:cstheme="minorEastAsia"/>
          <w:color w:val="000000"/>
          <w:sz w:val="22"/>
          <w:szCs w:val="22"/>
        </w:rPr>
      </w:pPr>
      <w:bookmarkStart w:id="0" w:name="_GoBack"/>
      <w:bookmarkEnd w:id="0"/>
    </w:p>
    <w:p>
      <w:pPr>
        <w:widowControl/>
        <w:rPr>
          <w:rFonts w:ascii="Fz_S_BiaoSong_Jt" w:eastAsia="Fz_S_BiaoSong_Jt"/>
          <w:sz w:val="48"/>
          <w:szCs w:val="48"/>
        </w:rPr>
      </w:pPr>
      <w:r>
        <w:rPr>
          <w:rFonts w:ascii="Fz_S_BiaoSong_Jt" w:eastAsia="Fz_S_BiaoSong_Jt"/>
          <w:sz w:val="48"/>
          <w:szCs w:val="48"/>
        </w:rPr>
        <w:t>中国共产党天津市南开区纪律检查</w:t>
      </w:r>
    </w:p>
    <w:p>
      <w:pPr>
        <w:widowControl/>
        <w:rPr>
          <w:rFonts w:ascii="Times New Roman" w:eastAsia="Fz_S_BiaoSong_Jt"/>
          <w:sz w:val="48"/>
          <w:szCs w:val="48"/>
        </w:rPr>
      </w:pPr>
      <w:r>
        <w:rPr>
          <w:rFonts w:ascii="Fz_S_BiaoSong_Jt" w:eastAsia="Fz_S_BiaoSong_Jt"/>
          <w:sz w:val="48"/>
          <w:szCs w:val="48"/>
        </w:rPr>
        <w:t>委员会（本级）</w:t>
      </w:r>
      <w:r>
        <w:rPr>
          <w:rFonts w:ascii="Times New Roman" w:eastAsia="Fz_S_BiaoSong_Jt"/>
          <w:sz w:val="48"/>
          <w:szCs w:val="48"/>
        </w:rPr>
        <w:t>2024年度部门决算</w:t>
      </w:r>
    </w:p>
    <w:p>
      <w:pPr>
        <w:spacing w:line="600" w:lineRule="auto"/>
        <w:rPr>
          <w:rFonts w:asciiTheme="minorEastAsia" w:hAnsiTheme="minorEastAsia" w:cstheme="minorEastAsia"/>
          <w:color w:val="000000"/>
          <w:sz w:val="22"/>
          <w:szCs w:val="22"/>
        </w:rPr>
      </w:pPr>
    </w:p>
    <w:p>
      <w:pPr>
        <w:spacing w:line="600" w:lineRule="auto"/>
        <w:rPr>
          <w:rFonts w:asciiTheme="minorEastAsia" w:hAnsiTheme="minorEastAsia" w:cstheme="minorEastAsia"/>
          <w:color w:val="000000"/>
          <w:sz w:val="22"/>
          <w:szCs w:val="22"/>
        </w:rPr>
      </w:pPr>
    </w:p>
    <w:p>
      <w:pPr>
        <w:spacing w:line="600" w:lineRule="auto"/>
        <w:rPr>
          <w:rFonts w:asciiTheme="minorEastAsia" w:hAnsiTheme="minorEastAsia" w:cstheme="minorEastAsia"/>
          <w:color w:val="000000"/>
          <w:sz w:val="22"/>
          <w:szCs w:val="22"/>
        </w:rPr>
      </w:pPr>
    </w:p>
    <w:p>
      <w:pP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br w:type="page"/>
      </w:r>
    </w:p>
    <w:p>
      <w:pPr>
        <w:widowControl/>
        <w:jc w:val="center"/>
        <w:outlineLvl w:val="0"/>
        <w:rPr>
          <w:rFonts w:ascii="宋体" w:eastAsia="黑体"/>
          <w:sz w:val="44"/>
          <w:szCs w:val="44"/>
        </w:rPr>
      </w:pPr>
      <w:r>
        <w:rPr>
          <w:rFonts w:ascii="宋体" w:eastAsia="黑体"/>
          <w:sz w:val="44"/>
          <w:szCs w:val="44"/>
        </w:rPr>
        <w:t>目  录</w:t>
      </w:r>
    </w:p>
    <w:p>
      <w:pPr>
        <w:widowControl/>
        <w:rPr>
          <w:rFonts w:ascii="黑体" w:eastAsia="黑体"/>
          <w:sz w:val="30"/>
          <w:szCs w:val="30"/>
        </w:rPr>
      </w:pPr>
      <w:r>
        <w:rPr>
          <w:rFonts w:ascii="黑体" w:eastAsia="黑体"/>
          <w:sz w:val="30"/>
          <w:szCs w:val="30"/>
        </w:rPr>
        <w:t>第一部分   概况</w:t>
      </w:r>
    </w:p>
    <w:p>
      <w:pPr>
        <w:widowControl/>
        <w:ind w:firstLine="600" w:firstLineChars="200"/>
        <w:rPr>
          <w:rFonts w:ascii="宋体" w:eastAsia="仿宋_GB2312"/>
          <w:sz w:val="30"/>
          <w:szCs w:val="30"/>
        </w:rPr>
      </w:pPr>
      <w:r>
        <w:rPr>
          <w:rFonts w:ascii="宋体" w:eastAsia="仿宋_GB2312"/>
          <w:sz w:val="30"/>
          <w:szCs w:val="30"/>
        </w:rPr>
        <w:t>一、主要职责</w:t>
      </w:r>
    </w:p>
    <w:p>
      <w:pPr>
        <w:widowControl/>
        <w:ind w:firstLine="600" w:firstLineChars="200"/>
        <w:rPr>
          <w:rFonts w:ascii="宋体" w:eastAsia="仿宋_GB2312"/>
          <w:sz w:val="30"/>
          <w:szCs w:val="30"/>
        </w:rPr>
      </w:pPr>
      <w:r>
        <w:rPr>
          <w:rFonts w:ascii="宋体" w:eastAsia="仿宋_GB2312"/>
          <w:sz w:val="30"/>
          <w:szCs w:val="30"/>
        </w:rPr>
        <w:t>二、机构设置</w:t>
      </w:r>
    </w:p>
    <w:p>
      <w:pPr>
        <w:widowControl/>
        <w:rPr>
          <w:rFonts w:ascii="黑体" w:eastAsia="黑体"/>
          <w:sz w:val="30"/>
          <w:szCs w:val="30"/>
        </w:rPr>
      </w:pPr>
      <w:r>
        <w:rPr>
          <w:rFonts w:ascii="黑体" w:eastAsia="黑体"/>
          <w:sz w:val="30"/>
          <w:szCs w:val="30"/>
        </w:rPr>
        <w:t>第二部分   2024年度部门决算报表</w:t>
      </w:r>
    </w:p>
    <w:p>
      <w:pPr>
        <w:widowControl/>
        <w:ind w:firstLine="600" w:firstLineChars="200"/>
        <w:rPr>
          <w:rFonts w:ascii="宋体" w:eastAsia="仿宋_GB2312"/>
          <w:sz w:val="30"/>
          <w:szCs w:val="30"/>
        </w:rPr>
      </w:pPr>
      <w:r>
        <w:rPr>
          <w:rFonts w:ascii="宋体" w:eastAsia="仿宋_GB2312"/>
          <w:sz w:val="30"/>
          <w:szCs w:val="30"/>
        </w:rPr>
        <w:t>一、收入支出决算总表</w:t>
      </w:r>
    </w:p>
    <w:p>
      <w:pPr>
        <w:widowControl/>
        <w:ind w:firstLine="600" w:firstLineChars="200"/>
        <w:rPr>
          <w:rFonts w:ascii="宋体" w:eastAsia="仿宋_GB2312"/>
          <w:sz w:val="30"/>
          <w:szCs w:val="30"/>
        </w:rPr>
      </w:pPr>
      <w:r>
        <w:rPr>
          <w:rFonts w:ascii="宋体" w:eastAsia="仿宋_GB2312"/>
          <w:sz w:val="30"/>
          <w:szCs w:val="30"/>
        </w:rPr>
        <w:t>二、收入决算表（按功能分类列示）</w:t>
      </w:r>
    </w:p>
    <w:p>
      <w:pPr>
        <w:widowControl/>
        <w:ind w:firstLine="600" w:firstLineChars="200"/>
        <w:rPr>
          <w:rFonts w:ascii="宋体" w:eastAsia="仿宋_GB2312"/>
          <w:sz w:val="30"/>
          <w:szCs w:val="30"/>
        </w:rPr>
      </w:pPr>
      <w:r>
        <w:rPr>
          <w:rFonts w:ascii="宋体" w:eastAsia="仿宋_GB2312"/>
          <w:sz w:val="30"/>
          <w:szCs w:val="30"/>
        </w:rPr>
        <w:t>三、收入决算表（按单位列示）</w:t>
      </w:r>
    </w:p>
    <w:p>
      <w:pPr>
        <w:widowControl/>
        <w:ind w:firstLine="600" w:firstLineChars="200"/>
        <w:rPr>
          <w:rFonts w:ascii="宋体" w:eastAsia="仿宋_GB2312"/>
          <w:sz w:val="30"/>
          <w:szCs w:val="30"/>
        </w:rPr>
      </w:pPr>
      <w:r>
        <w:rPr>
          <w:rFonts w:ascii="宋体" w:eastAsia="仿宋_GB2312"/>
          <w:sz w:val="30"/>
          <w:szCs w:val="30"/>
        </w:rPr>
        <w:t>四、支出决算表</w:t>
      </w:r>
    </w:p>
    <w:p>
      <w:pPr>
        <w:widowControl/>
        <w:ind w:firstLine="600" w:firstLineChars="200"/>
        <w:rPr>
          <w:rFonts w:ascii="宋体" w:eastAsia="仿宋_GB2312"/>
          <w:sz w:val="30"/>
          <w:szCs w:val="30"/>
        </w:rPr>
      </w:pPr>
      <w:r>
        <w:rPr>
          <w:rFonts w:ascii="宋体" w:eastAsia="仿宋_GB2312"/>
          <w:sz w:val="30"/>
          <w:szCs w:val="30"/>
        </w:rPr>
        <w:t>五、财政拨款收入支出决算总表</w:t>
      </w:r>
    </w:p>
    <w:p>
      <w:pPr>
        <w:widowControl/>
        <w:ind w:firstLine="600" w:firstLineChars="200"/>
        <w:rPr>
          <w:rFonts w:ascii="宋体" w:eastAsia="仿宋_GB2312"/>
          <w:sz w:val="30"/>
          <w:szCs w:val="30"/>
        </w:rPr>
      </w:pPr>
      <w:r>
        <w:rPr>
          <w:rFonts w:ascii="宋体" w:eastAsia="仿宋_GB2312"/>
          <w:sz w:val="30"/>
          <w:szCs w:val="30"/>
        </w:rPr>
        <w:t>六、一般公共预算财政拨款支出决算表</w:t>
      </w:r>
    </w:p>
    <w:p>
      <w:pPr>
        <w:widowControl/>
        <w:ind w:firstLine="600" w:firstLineChars="200"/>
        <w:rPr>
          <w:rFonts w:ascii="宋体" w:eastAsia="仿宋_GB2312"/>
          <w:sz w:val="30"/>
          <w:szCs w:val="30"/>
        </w:rPr>
      </w:pPr>
      <w:r>
        <w:rPr>
          <w:rFonts w:ascii="宋体" w:eastAsia="仿宋_GB2312"/>
          <w:sz w:val="30"/>
          <w:szCs w:val="30"/>
        </w:rPr>
        <w:t>七、一般公共预算财政拨款基本支出决算明细表</w:t>
      </w:r>
    </w:p>
    <w:p>
      <w:pPr>
        <w:widowControl/>
        <w:ind w:firstLine="600" w:firstLineChars="200"/>
        <w:rPr>
          <w:rFonts w:ascii="宋体" w:eastAsia="仿宋_GB2312"/>
          <w:sz w:val="30"/>
          <w:szCs w:val="30"/>
        </w:rPr>
      </w:pPr>
      <w:r>
        <w:rPr>
          <w:rFonts w:ascii="宋体" w:eastAsia="仿宋_GB2312"/>
          <w:sz w:val="30"/>
          <w:szCs w:val="30"/>
        </w:rPr>
        <w:t>八、政府性基金预算财政拨款收入支出决算表</w:t>
      </w:r>
    </w:p>
    <w:p>
      <w:pPr>
        <w:widowControl/>
        <w:ind w:firstLine="600" w:firstLineChars="200"/>
        <w:rPr>
          <w:rFonts w:ascii="宋体" w:eastAsia="仿宋_GB2312"/>
          <w:sz w:val="30"/>
          <w:szCs w:val="30"/>
        </w:rPr>
      </w:pPr>
      <w:r>
        <w:rPr>
          <w:rFonts w:ascii="宋体" w:eastAsia="仿宋_GB2312"/>
          <w:sz w:val="30"/>
          <w:szCs w:val="30"/>
        </w:rPr>
        <w:t>九、国有资本经营预算财政拨款支出决算表</w:t>
      </w:r>
    </w:p>
    <w:p>
      <w:pPr>
        <w:widowControl/>
        <w:ind w:firstLine="600" w:firstLineChars="200"/>
        <w:rPr>
          <w:rFonts w:ascii="宋体" w:eastAsia="仿宋_GB2312"/>
          <w:sz w:val="30"/>
          <w:szCs w:val="30"/>
        </w:rPr>
      </w:pPr>
      <w:r>
        <w:rPr>
          <w:rFonts w:ascii="宋体" w:eastAsia="仿宋_GB2312"/>
          <w:sz w:val="30"/>
          <w:szCs w:val="30"/>
        </w:rPr>
        <w:t>十、财政拨款“三公”经费支出决算表</w:t>
      </w:r>
    </w:p>
    <w:p>
      <w:pPr>
        <w:widowControl/>
        <w:ind w:firstLine="600" w:firstLineChars="200"/>
        <w:rPr>
          <w:rFonts w:ascii="宋体" w:eastAsia="仿宋_GB2312"/>
          <w:sz w:val="30"/>
          <w:szCs w:val="30"/>
        </w:rPr>
      </w:pPr>
      <w:r>
        <w:rPr>
          <w:rFonts w:ascii="宋体" w:eastAsia="仿宋_GB2312"/>
          <w:sz w:val="30"/>
          <w:szCs w:val="30"/>
        </w:rPr>
        <w:t>十一、项目支出决算表</w:t>
      </w:r>
    </w:p>
    <w:p>
      <w:pPr>
        <w:widowControl/>
        <w:rPr>
          <w:rFonts w:ascii="黑体" w:eastAsia="黑体"/>
          <w:sz w:val="30"/>
          <w:szCs w:val="30"/>
        </w:rPr>
      </w:pPr>
      <w:r>
        <w:rPr>
          <w:rFonts w:ascii="黑体" w:eastAsia="黑体"/>
          <w:sz w:val="30"/>
          <w:szCs w:val="30"/>
        </w:rPr>
        <w:t>第三部分   2024年度部门决算情况说明</w:t>
      </w:r>
    </w:p>
    <w:p>
      <w:pPr>
        <w:widowControl/>
        <w:ind w:firstLine="600" w:firstLineChars="200"/>
        <w:rPr>
          <w:rFonts w:ascii="宋体" w:eastAsia="仿宋_GB2312"/>
          <w:sz w:val="30"/>
          <w:szCs w:val="30"/>
        </w:rPr>
      </w:pPr>
      <w:r>
        <w:rPr>
          <w:rFonts w:ascii="宋体" w:eastAsia="仿宋_GB2312"/>
          <w:sz w:val="30"/>
          <w:szCs w:val="30"/>
        </w:rPr>
        <w:t>一、收支决算总体情况说明</w:t>
      </w:r>
    </w:p>
    <w:p>
      <w:pPr>
        <w:widowControl/>
        <w:ind w:firstLine="600" w:firstLineChars="200"/>
        <w:rPr>
          <w:rFonts w:ascii="宋体" w:eastAsia="仿宋_GB2312"/>
          <w:sz w:val="30"/>
          <w:szCs w:val="30"/>
        </w:rPr>
      </w:pPr>
      <w:r>
        <w:rPr>
          <w:rFonts w:ascii="宋体" w:eastAsia="仿宋_GB2312"/>
          <w:sz w:val="30"/>
          <w:szCs w:val="30"/>
        </w:rPr>
        <w:t>二、收入决算情况说明</w:t>
      </w:r>
    </w:p>
    <w:p>
      <w:pPr>
        <w:widowControl/>
        <w:ind w:firstLine="600" w:firstLineChars="200"/>
        <w:rPr>
          <w:rFonts w:ascii="宋体" w:eastAsia="仿宋_GB2312"/>
          <w:sz w:val="30"/>
          <w:szCs w:val="30"/>
        </w:rPr>
      </w:pPr>
      <w:r>
        <w:rPr>
          <w:rFonts w:ascii="宋体" w:eastAsia="仿宋_GB2312"/>
          <w:sz w:val="30"/>
          <w:szCs w:val="30"/>
        </w:rPr>
        <w:t>三、支出决算情况说明</w:t>
      </w:r>
    </w:p>
    <w:p>
      <w:pPr>
        <w:widowControl/>
        <w:ind w:firstLine="600" w:firstLineChars="200"/>
        <w:rPr>
          <w:rFonts w:ascii="宋体" w:eastAsia="仿宋_GB2312"/>
          <w:sz w:val="30"/>
          <w:szCs w:val="30"/>
        </w:rPr>
      </w:pPr>
      <w:r>
        <w:rPr>
          <w:rFonts w:ascii="宋体" w:eastAsia="仿宋_GB2312"/>
          <w:sz w:val="30"/>
          <w:szCs w:val="30"/>
        </w:rPr>
        <w:t>四、财政拨款收支决算总体情况说明</w:t>
      </w:r>
    </w:p>
    <w:p>
      <w:pPr>
        <w:widowControl/>
        <w:ind w:firstLine="600" w:firstLineChars="200"/>
        <w:rPr>
          <w:rFonts w:ascii="宋体" w:eastAsia="仿宋_GB2312"/>
          <w:sz w:val="30"/>
          <w:szCs w:val="30"/>
        </w:rPr>
      </w:pPr>
      <w:r>
        <w:rPr>
          <w:rFonts w:ascii="宋体" w:eastAsia="仿宋_GB2312"/>
          <w:sz w:val="30"/>
          <w:szCs w:val="30"/>
        </w:rPr>
        <w:t>五、一般公共预算财政拨款支出决算情况说明</w:t>
      </w:r>
    </w:p>
    <w:p>
      <w:pPr>
        <w:widowControl/>
        <w:ind w:firstLine="600" w:firstLineChars="200"/>
        <w:rPr>
          <w:rFonts w:ascii="宋体" w:eastAsia="仿宋_GB2312"/>
          <w:sz w:val="30"/>
          <w:szCs w:val="30"/>
        </w:rPr>
      </w:pPr>
      <w:r>
        <w:rPr>
          <w:rFonts w:ascii="宋体" w:eastAsia="仿宋_GB2312"/>
          <w:sz w:val="30"/>
          <w:szCs w:val="30"/>
        </w:rPr>
        <w:t>六、一般公共预算财政拨款基本支出决算情况说明</w:t>
      </w:r>
    </w:p>
    <w:p>
      <w:pPr>
        <w:widowControl/>
        <w:ind w:firstLine="600" w:firstLineChars="200"/>
        <w:rPr>
          <w:rFonts w:ascii="宋体" w:eastAsia="仿宋_GB2312"/>
          <w:sz w:val="30"/>
          <w:szCs w:val="30"/>
        </w:rPr>
      </w:pPr>
      <w:r>
        <w:rPr>
          <w:rFonts w:ascii="宋体" w:eastAsia="仿宋_GB2312"/>
          <w:sz w:val="30"/>
          <w:szCs w:val="30"/>
        </w:rPr>
        <w:t>七、政府性基金预算财政拨款收支决算情况说明</w:t>
      </w:r>
    </w:p>
    <w:p>
      <w:pPr>
        <w:widowControl/>
        <w:ind w:firstLine="600" w:firstLineChars="200"/>
        <w:rPr>
          <w:rFonts w:ascii="宋体" w:eastAsia="仿宋_GB2312"/>
          <w:sz w:val="30"/>
          <w:szCs w:val="30"/>
        </w:rPr>
      </w:pPr>
      <w:r>
        <w:rPr>
          <w:rFonts w:ascii="宋体" w:eastAsia="仿宋_GB2312"/>
          <w:sz w:val="30"/>
          <w:szCs w:val="30"/>
        </w:rPr>
        <w:t>八、国有资本经营预算财政拨款收支决算情况说明</w:t>
      </w:r>
    </w:p>
    <w:p>
      <w:pPr>
        <w:widowControl/>
        <w:ind w:firstLine="600" w:firstLineChars="200"/>
        <w:rPr>
          <w:rFonts w:ascii="宋体" w:eastAsia="仿宋_GB2312"/>
          <w:sz w:val="30"/>
          <w:szCs w:val="30"/>
        </w:rPr>
      </w:pPr>
      <w:r>
        <w:rPr>
          <w:rFonts w:ascii="宋体" w:eastAsia="仿宋_GB2312"/>
          <w:sz w:val="30"/>
          <w:szCs w:val="30"/>
        </w:rPr>
        <w:t>九、财政拨款“三公”经费支出决算情况说明</w:t>
      </w:r>
    </w:p>
    <w:p>
      <w:pPr>
        <w:widowControl/>
        <w:ind w:firstLine="600" w:firstLineChars="200"/>
        <w:rPr>
          <w:rFonts w:ascii="宋体" w:eastAsia="仿宋_GB2312"/>
          <w:sz w:val="30"/>
          <w:szCs w:val="30"/>
        </w:rPr>
      </w:pPr>
      <w:r>
        <w:rPr>
          <w:rFonts w:ascii="宋体" w:eastAsia="仿宋_GB2312"/>
          <w:sz w:val="30"/>
          <w:szCs w:val="30"/>
        </w:rPr>
        <w:t>十、机关运行经费支出情况说明</w:t>
      </w:r>
    </w:p>
    <w:p>
      <w:pPr>
        <w:widowControl/>
        <w:ind w:firstLine="600" w:firstLineChars="200"/>
        <w:rPr>
          <w:rFonts w:ascii="宋体" w:eastAsia="仿宋_GB2312"/>
          <w:sz w:val="30"/>
          <w:szCs w:val="30"/>
        </w:rPr>
      </w:pPr>
      <w:r>
        <w:rPr>
          <w:rFonts w:ascii="宋体" w:eastAsia="仿宋_GB2312"/>
          <w:sz w:val="30"/>
          <w:szCs w:val="30"/>
        </w:rPr>
        <w:t>十一、政府采购支出情况说明</w:t>
      </w:r>
    </w:p>
    <w:p>
      <w:pPr>
        <w:widowControl/>
        <w:ind w:firstLine="600" w:firstLineChars="200"/>
        <w:rPr>
          <w:rFonts w:ascii="宋体" w:eastAsia="仿宋_GB2312"/>
          <w:sz w:val="30"/>
          <w:szCs w:val="30"/>
        </w:rPr>
      </w:pPr>
      <w:r>
        <w:rPr>
          <w:rFonts w:ascii="宋体" w:eastAsia="仿宋_GB2312"/>
          <w:sz w:val="30"/>
          <w:szCs w:val="30"/>
        </w:rPr>
        <w:t>十二、国有资产占有使用情况说明</w:t>
      </w:r>
    </w:p>
    <w:p>
      <w:pPr>
        <w:widowControl/>
        <w:ind w:firstLine="600" w:firstLineChars="200"/>
        <w:rPr>
          <w:rFonts w:ascii="宋体" w:eastAsia="仿宋_GB2312"/>
          <w:sz w:val="30"/>
          <w:szCs w:val="30"/>
        </w:rPr>
      </w:pPr>
      <w:r>
        <w:rPr>
          <w:rFonts w:ascii="宋体" w:eastAsia="仿宋_GB2312"/>
          <w:sz w:val="30"/>
          <w:szCs w:val="30"/>
        </w:rPr>
        <w:t>十三、预算绩效情况说明</w:t>
      </w:r>
    </w:p>
    <w:p>
      <w:pPr>
        <w:widowControl/>
        <w:ind w:firstLine="600" w:firstLineChars="200"/>
        <w:rPr>
          <w:rFonts w:ascii="宋体" w:eastAsia="仿宋_GB2312"/>
          <w:sz w:val="30"/>
          <w:szCs w:val="30"/>
        </w:rPr>
      </w:pPr>
      <w:r>
        <w:rPr>
          <w:rFonts w:ascii="宋体" w:eastAsia="仿宋_GB2312"/>
          <w:sz w:val="30"/>
          <w:szCs w:val="30"/>
        </w:rPr>
        <w:t>十四、教育、医疗卫生、社会保障和就业、住房保障、涉农补贴等民生支出情况说明</w:t>
      </w:r>
    </w:p>
    <w:p>
      <w:pPr>
        <w:widowControl/>
        <w:rPr>
          <w:rFonts w:ascii="黑体" w:eastAsia="黑体"/>
          <w:sz w:val="30"/>
          <w:szCs w:val="30"/>
        </w:rPr>
      </w:pPr>
      <w:r>
        <w:rPr>
          <w:rFonts w:ascii="黑体" w:eastAsia="黑体"/>
          <w:sz w:val="30"/>
          <w:szCs w:val="30"/>
        </w:rPr>
        <w:t>第四部分   名词解释</w:t>
      </w:r>
    </w:p>
    <w:p>
      <w:pPr>
        <w:rPr>
          <w:rFonts w:asciiTheme="minorEastAsia" w:hAnsiTheme="minorEastAsia" w:cstheme="minorEastAsia"/>
          <w:sz w:val="22"/>
          <w:szCs w:val="22"/>
          <w:highlight w:val="yellow"/>
        </w:rPr>
      </w:pPr>
    </w:p>
    <w:p>
      <w:pPr>
        <w:snapToGrid w:val="0"/>
        <w:rPr>
          <w:rFonts w:asciiTheme="minorEastAsia" w:hAnsiTheme="minorEastAsia" w:cstheme="minorEastAsia"/>
          <w:color w:val="000000" w:themeColor="text1"/>
          <w:sz w:val="22"/>
          <w:szCs w:val="22"/>
        </w:rPr>
      </w:pPr>
    </w:p>
    <w:p>
      <w:pPr>
        <w:snapToGrid w:val="0"/>
        <w:rPr>
          <w:rFonts w:asciiTheme="minorEastAsia" w:hAnsiTheme="minorEastAsia" w:cstheme="minorEastAsia"/>
          <w:color w:val="000000" w:themeColor="text1"/>
          <w:sz w:val="22"/>
          <w:szCs w:val="22"/>
        </w:rPr>
        <w:sectPr>
          <w:footerReference r:id="rId3" w:type="default"/>
          <w:pgSz w:w="11906" w:h="16838"/>
          <w:pgMar w:top="1531" w:right="1984" w:bottom="1531" w:left="2098" w:header="851" w:footer="992" w:gutter="0"/>
          <w:cols w:space="720" w:num="1"/>
          <w:docGrid w:type="lines" w:linePitch="312" w:charSpace="0"/>
        </w:sectPr>
      </w:pPr>
    </w:p>
    <w:p>
      <w:pPr>
        <w:widowControl/>
        <w:jc w:val="center"/>
        <w:outlineLvl w:val="0"/>
        <w:rPr>
          <w:rFonts w:ascii="黑体" w:eastAsia="黑体"/>
          <w:sz w:val="44"/>
          <w:szCs w:val="44"/>
        </w:rPr>
      </w:pPr>
      <w:r>
        <w:rPr>
          <w:rFonts w:ascii="黑体" w:eastAsia="黑体"/>
          <w:sz w:val="44"/>
          <w:szCs w:val="44"/>
        </w:rPr>
        <w:t>第一部分  概况</w:t>
      </w:r>
    </w:p>
    <w:p>
      <w:pPr>
        <w:widowControl/>
        <w:ind w:firstLine="600" w:firstLineChars="200"/>
        <w:outlineLvl w:val="1"/>
        <w:rPr>
          <w:rFonts w:ascii="宋体" w:eastAsia="黑体"/>
          <w:sz w:val="30"/>
          <w:szCs w:val="30"/>
        </w:rPr>
      </w:pPr>
      <w:r>
        <w:rPr>
          <w:rFonts w:ascii="宋体" w:eastAsia="黑体"/>
          <w:sz w:val="30"/>
          <w:szCs w:val="30"/>
        </w:rPr>
        <w:t>一、主要职责</w:t>
      </w:r>
    </w:p>
    <w:p>
      <w:pPr>
        <w:keepNext w:val="0"/>
        <w:keepLines w:val="0"/>
        <w:pageBreakBefore w:val="0"/>
        <w:widowControl/>
        <w:kinsoku/>
        <w:wordWrap/>
        <w:overflowPunct/>
        <w:topLinePunct w:val="0"/>
        <w:autoSpaceDE/>
        <w:autoSpaceDN/>
        <w:bidi w:val="0"/>
        <w:adjustRightInd/>
        <w:snapToGrid/>
        <w:spacing w:line="360" w:lineRule="auto"/>
        <w:ind w:firstLine="600" w:firstLineChars="200"/>
        <w:textAlignment w:val="auto"/>
        <w:outlineLvl w:val="1"/>
        <w:rPr>
          <w:rFonts w:ascii="Times New Roman" w:hAnsi="Times New Roman" w:eastAsia="仿宋_GB2312" w:cs="仿宋_GB2312"/>
          <w:sz w:val="30"/>
          <w:szCs w:val="30"/>
        </w:rPr>
      </w:pPr>
      <w:r>
        <w:rPr>
          <w:rFonts w:hint="eastAsia" w:ascii="Times New Roman" w:hAnsi="Times New Roman" w:eastAsia="仿宋_GB2312" w:cs="仿宋_GB2312"/>
          <w:sz w:val="30"/>
          <w:szCs w:val="30"/>
        </w:rPr>
        <w:t>中国共产党天津市南开区纪律检查委员会是行政单位。其主要职责：中国共产党天津市南开区纪律检查委员会是机关法人单位，属一级预算单位，财务独立核算，执行政府会计制度。其主要职责是维护党的章程和其他党内法规，检查党的路线、方针、政策和决议的执行情况，协助党的委员会加强党风建设和组织协调反腐败工作。</w:t>
      </w:r>
    </w:p>
    <w:p>
      <w:pPr>
        <w:widowControl/>
        <w:ind w:firstLine="600" w:firstLineChars="200"/>
        <w:outlineLvl w:val="1"/>
        <w:rPr>
          <w:rFonts w:ascii="宋体" w:eastAsia="黑体"/>
          <w:sz w:val="30"/>
          <w:szCs w:val="30"/>
        </w:rPr>
      </w:pPr>
      <w:r>
        <w:rPr>
          <w:rFonts w:ascii="宋体" w:eastAsia="黑体"/>
          <w:sz w:val="30"/>
          <w:szCs w:val="30"/>
        </w:rPr>
        <w:t>二、机构设置</w:t>
      </w:r>
    </w:p>
    <w:p>
      <w:pPr>
        <w:widowControl/>
        <w:ind w:firstLine="600" w:firstLineChars="200"/>
        <w:rPr>
          <w:rFonts w:hint="eastAsia" w:ascii="Times New Roman" w:hAnsi="Times New Roman" w:eastAsia="仿宋_GB2312" w:cs="仿宋_GB2312"/>
          <w:sz w:val="30"/>
          <w:szCs w:val="30"/>
          <w:lang w:eastAsia="zh-CN"/>
        </w:rPr>
      </w:pPr>
      <w:r>
        <w:rPr>
          <w:rFonts w:ascii="Times New Roman" w:eastAsia="仿宋_GB2312"/>
          <w:sz w:val="30"/>
          <w:szCs w:val="30"/>
        </w:rPr>
        <w:t>中国共产党天津市南开区纪律检查委员会（本级）内设</w:t>
      </w:r>
      <w:r>
        <w:rPr>
          <w:rFonts w:hint="eastAsia" w:ascii="Times New Roman" w:eastAsia="仿宋_GB2312"/>
          <w:sz w:val="30"/>
          <w:szCs w:val="30"/>
        </w:rPr>
        <w:t>13</w:t>
      </w:r>
      <w:r>
        <w:rPr>
          <w:rFonts w:ascii="Times New Roman" w:eastAsia="仿宋_GB2312"/>
          <w:sz w:val="30"/>
          <w:szCs w:val="30"/>
        </w:rPr>
        <w:t>个职能部门</w:t>
      </w:r>
      <w:r>
        <w:rPr>
          <w:rFonts w:hint="eastAsia" w:ascii="Times New Roman" w:eastAsia="仿宋_GB2312"/>
          <w:sz w:val="30"/>
          <w:szCs w:val="30"/>
        </w:rPr>
        <w:t>，7个派驻纪检监察组</w:t>
      </w:r>
      <w:r>
        <w:rPr>
          <w:rFonts w:ascii="Times New Roman" w:eastAsia="仿宋_GB2312"/>
          <w:sz w:val="30"/>
          <w:szCs w:val="30"/>
        </w:rPr>
        <w:t>。</w:t>
      </w:r>
      <w:r>
        <w:rPr>
          <w:rFonts w:hint="eastAsia" w:ascii="Times New Roman" w:hAnsi="Times New Roman" w:eastAsia="仿宋_GB2312" w:cs="仿宋_GB2312"/>
          <w:sz w:val="30"/>
          <w:szCs w:val="30"/>
        </w:rPr>
        <w:t>区委巡察工作领导小组办公室将财务纳入中国共产党天津市南开区纪律检查委员会管理。</w:t>
      </w:r>
      <w:r>
        <w:rPr>
          <w:rFonts w:ascii="Times New Roman" w:eastAsia="仿宋_GB2312"/>
          <w:sz w:val="30"/>
          <w:szCs w:val="30"/>
        </w:rPr>
        <w:t>纳入中国共产党天津市南开区纪律检查委员会（本级）2024年度部门决算编制范围的单位包括：</w:t>
      </w:r>
      <w:r>
        <w:rPr>
          <w:rFonts w:hint="eastAsia" w:ascii="Times New Roman" w:hAnsi="Times New Roman" w:eastAsia="仿宋_GB2312" w:cs="仿宋_GB2312"/>
          <w:sz w:val="30"/>
          <w:szCs w:val="30"/>
        </w:rPr>
        <w:t>中国共产党天津市南开区纪律检查委员会（本级）</w:t>
      </w:r>
      <w:r>
        <w:rPr>
          <w:rFonts w:hint="eastAsia" w:ascii="Times New Roman" w:hAnsi="Times New Roman" w:eastAsia="仿宋_GB2312" w:cs="仿宋_GB2312"/>
          <w:sz w:val="30"/>
          <w:szCs w:val="30"/>
          <w:lang w:eastAsia="zh-CN"/>
        </w:rPr>
        <w:t>。</w:t>
      </w:r>
    </w:p>
    <w:p>
      <w:pPr>
        <w:rPr>
          <w:rFonts w:asciiTheme="minorEastAsia" w:hAnsiTheme="minorEastAsia" w:cstheme="minorEastAsia"/>
          <w:color w:val="000000"/>
          <w:sz w:val="22"/>
          <w:szCs w:val="22"/>
          <w:shd w:val="clear" w:color="auto" w:fill="FFFFFF"/>
        </w:rPr>
        <w:sectPr>
          <w:headerReference r:id="rId4" w:type="default"/>
          <w:footerReference r:id="rId5" w:type="default"/>
          <w:pgSz w:w="11906" w:h="16838"/>
          <w:pgMar w:top="1531" w:right="1984" w:bottom="1531" w:left="2098" w:header="851" w:footer="992" w:gutter="0"/>
          <w:pgNumType w:start="1"/>
          <w:cols w:space="720" w:num="1"/>
          <w:docGrid w:type="lines" w:linePitch="312" w:charSpace="0"/>
        </w:sectPr>
      </w:pPr>
    </w:p>
    <w:p>
      <w:pPr>
        <w:widowControl/>
        <w:jc w:val="center"/>
        <w:outlineLvl w:val="0"/>
        <w:rPr>
          <w:rFonts w:ascii="黑体" w:eastAsia="黑体"/>
          <w:sz w:val="44"/>
          <w:szCs w:val="44"/>
        </w:rPr>
      </w:pPr>
      <w:r>
        <w:rPr>
          <w:rFonts w:ascii="黑体" w:eastAsia="黑体"/>
          <w:sz w:val="44"/>
          <w:szCs w:val="44"/>
        </w:rPr>
        <w:t>第二部分  2024年度部门决算报表</w:t>
      </w:r>
    </w:p>
    <w:p>
      <w:pPr>
        <w:pStyle w:val="28"/>
        <w:widowControl/>
        <w:jc w:val="both"/>
        <w:rPr>
          <w:rFonts w:ascii="仿宋" w:hAnsi="仿宋" w:eastAsia="仿宋" w:cs="仿宋"/>
          <w:b/>
          <w:bCs/>
        </w:rPr>
      </w:pPr>
      <w:r>
        <w:rPr>
          <w:rFonts w:hint="eastAsia" w:ascii="仿宋" w:hAnsi="仿宋" w:eastAsia="仿宋" w:cs="仿宋"/>
          <w:b/>
          <w:bCs/>
        </w:rPr>
        <w:t>一、收入支出决算总表</w:t>
      </w:r>
    </w:p>
    <w:tbl>
      <w:tblPr>
        <w:tblStyle w:val="11"/>
        <w:tblW w:w="13989" w:type="dxa"/>
        <w:tblInd w:w="0" w:type="dxa"/>
        <w:tblLayout w:type="fixed"/>
        <w:tblCellMar>
          <w:top w:w="0" w:type="dxa"/>
          <w:left w:w="108" w:type="dxa"/>
          <w:bottom w:w="0" w:type="dxa"/>
          <w:right w:w="108" w:type="dxa"/>
        </w:tblCellMar>
      </w:tblPr>
      <w:tblGrid>
        <w:gridCol w:w="4697"/>
        <w:gridCol w:w="2650"/>
        <w:gridCol w:w="3598"/>
        <w:gridCol w:w="3044"/>
      </w:tblGrid>
      <w:tr>
        <w:tblPrEx>
          <w:tblCellMar>
            <w:top w:w="0" w:type="dxa"/>
            <w:left w:w="108" w:type="dxa"/>
            <w:bottom w:w="0" w:type="dxa"/>
            <w:right w:w="108" w:type="dxa"/>
          </w:tblCellMar>
        </w:tblPrEx>
        <w:trPr>
          <w:trHeight w:val="320" w:hRule="atLeast"/>
        </w:trPr>
        <w:tc>
          <w:tcPr>
            <w:tcW w:w="10945" w:type="dxa"/>
            <w:gridSpan w:val="3"/>
            <w:tcBorders>
              <w:top w:val="nil"/>
              <w:left w:val="nil"/>
              <w:bottom w:val="nil"/>
              <w:right w:val="nil"/>
            </w:tcBorders>
            <w:shd w:val="clear" w:color="auto" w:fill="auto"/>
            <w:noWrap/>
            <w:vAlign w:val="bottom"/>
          </w:tcPr>
          <w:p>
            <w:pPr>
              <w:widowControl/>
              <w:textAlignment w:val="bottom"/>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部门（单位）：中国共产党天津市南开区纪律检查委员会（本级） </w:t>
            </w:r>
          </w:p>
        </w:tc>
        <w:tc>
          <w:tcPr>
            <w:tcW w:w="3044" w:type="dxa"/>
            <w:tcBorders>
              <w:top w:val="nil"/>
              <w:left w:val="nil"/>
              <w:bottom w:val="nil"/>
              <w:right w:val="nil"/>
            </w:tcBorders>
            <w:shd w:val="clear" w:color="auto" w:fill="auto"/>
            <w:noWrap/>
            <w:vAlign w:val="bottom"/>
          </w:tcPr>
          <w:p>
            <w:pPr>
              <w:widowControl/>
              <w:textAlignment w:val="bottom"/>
              <w:rPr>
                <w:rFonts w:asciiTheme="minorEastAsia" w:hAnsiTheme="minorEastAsia" w:cstheme="minorEastAsia"/>
                <w:color w:val="000000"/>
                <w:sz w:val="22"/>
                <w:szCs w:val="22"/>
              </w:rPr>
            </w:pPr>
            <w:r>
              <w:rPr>
                <w:rStyle w:val="27"/>
                <w:rFonts w:hint="default" w:asciiTheme="minorEastAsia" w:hAnsiTheme="minorEastAsia" w:eastAsiaTheme="minorEastAsia" w:cstheme="minorEastAsia"/>
                <w:sz w:val="22"/>
                <w:szCs w:val="22"/>
              </w:rPr>
              <w:t>单位：元</w:t>
            </w:r>
          </w:p>
        </w:tc>
      </w:tr>
      <w:tr>
        <w:tblPrEx>
          <w:tblCellMar>
            <w:top w:w="0" w:type="dxa"/>
            <w:left w:w="108" w:type="dxa"/>
            <w:bottom w:w="0" w:type="dxa"/>
            <w:right w:w="108" w:type="dxa"/>
          </w:tblCellMar>
        </w:tblPrEx>
        <w:trPr>
          <w:trHeight w:val="308" w:hRule="atLeast"/>
        </w:trPr>
        <w:tc>
          <w:tcPr>
            <w:tcW w:w="4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收入</w:t>
            </w:r>
          </w:p>
        </w:tc>
        <w:tc>
          <w:tcPr>
            <w:tcW w:w="2650"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asciiTheme="minorEastAsia" w:hAnsiTheme="minorEastAsia" w:cstheme="minorEastAsia"/>
                <w:color w:val="000000"/>
                <w:sz w:val="22"/>
                <w:szCs w:val="22"/>
              </w:rPr>
            </w:pPr>
          </w:p>
        </w:tc>
        <w:tc>
          <w:tcPr>
            <w:tcW w:w="3598" w:type="dxa"/>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支出</w:t>
            </w:r>
          </w:p>
        </w:tc>
        <w:tc>
          <w:tcPr>
            <w:tcW w:w="3044"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项    目</w:t>
            </w:r>
          </w:p>
        </w:tc>
        <w:tc>
          <w:tcPr>
            <w:tcW w:w="26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金额</w:t>
            </w:r>
          </w:p>
        </w:tc>
        <w:tc>
          <w:tcPr>
            <w:tcW w:w="3598"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项    目</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金额</w:t>
            </w: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一、一般公共预算财政拨款收入</w:t>
            </w:r>
          </w:p>
        </w:tc>
        <w:tc>
          <w:tcPr>
            <w:tcW w:w="26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43,529,130.07</w:t>
            </w:r>
          </w:p>
        </w:tc>
        <w:tc>
          <w:tcPr>
            <w:tcW w:w="359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一、一般公共服务支出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37,908,140.94</w:t>
            </w: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二、政府性基金预算财政拨款收入</w:t>
            </w:r>
          </w:p>
        </w:tc>
        <w:tc>
          <w:tcPr>
            <w:tcW w:w="26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二、公共安全支出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三、国有资本经营预算财政拨款收入</w:t>
            </w:r>
          </w:p>
        </w:tc>
        <w:tc>
          <w:tcPr>
            <w:tcW w:w="26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三、教育支出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四、财政专户管理资金</w:t>
            </w:r>
          </w:p>
        </w:tc>
        <w:tc>
          <w:tcPr>
            <w:tcW w:w="26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四、科学技术支出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五、事业收入</w:t>
            </w:r>
          </w:p>
        </w:tc>
        <w:tc>
          <w:tcPr>
            <w:tcW w:w="26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五、文化旅游体育与传媒支出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六、事业单位经营收入</w:t>
            </w:r>
          </w:p>
        </w:tc>
        <w:tc>
          <w:tcPr>
            <w:tcW w:w="26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六、社会保障和就业支出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3,747,321.38</w:t>
            </w: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七、上级补助收入</w:t>
            </w:r>
          </w:p>
        </w:tc>
        <w:tc>
          <w:tcPr>
            <w:tcW w:w="26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七、卫生健康支出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1,873,667.75</w:t>
            </w: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八、附属单位上缴收入</w:t>
            </w:r>
          </w:p>
        </w:tc>
        <w:tc>
          <w:tcPr>
            <w:tcW w:w="26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八、节能环保支出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九、其他收入</w:t>
            </w:r>
          </w:p>
        </w:tc>
        <w:tc>
          <w:tcPr>
            <w:tcW w:w="26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九、城乡社区支出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rPr>
                <w:rFonts w:asciiTheme="minorEastAsia" w:hAnsiTheme="minorEastAsia" w:cstheme="minorEastAsia"/>
                <w:color w:val="000000"/>
                <w:sz w:val="22"/>
                <w:szCs w:val="22"/>
              </w:rPr>
            </w:pPr>
          </w:p>
        </w:tc>
        <w:tc>
          <w:tcPr>
            <w:tcW w:w="2650" w:type="dxa"/>
            <w:tcBorders>
              <w:top w:val="nil"/>
              <w:left w:val="nil"/>
              <w:bottom w:val="single" w:color="000000" w:sz="4" w:space="0"/>
              <w:right w:val="single" w:color="000000" w:sz="4" w:space="0"/>
            </w:tcBorders>
            <w:shd w:val="clear" w:color="auto" w:fill="auto"/>
            <w:vAlign w:val="center"/>
          </w:tcPr>
          <w:p>
            <w:pPr>
              <w:jc w:val="right"/>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十、农林水支出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rPr>
                <w:rFonts w:asciiTheme="minorEastAsia" w:hAnsiTheme="minorEastAsia" w:cstheme="minorEastAsia"/>
                <w:color w:val="000000"/>
                <w:sz w:val="22"/>
                <w:szCs w:val="22"/>
              </w:rPr>
            </w:pPr>
          </w:p>
        </w:tc>
        <w:tc>
          <w:tcPr>
            <w:tcW w:w="2650" w:type="dxa"/>
            <w:tcBorders>
              <w:top w:val="nil"/>
              <w:left w:val="nil"/>
              <w:bottom w:val="single" w:color="000000" w:sz="4" w:space="0"/>
              <w:right w:val="single" w:color="000000" w:sz="4" w:space="0"/>
            </w:tcBorders>
            <w:shd w:val="clear" w:color="auto" w:fill="auto"/>
            <w:vAlign w:val="center"/>
          </w:tcPr>
          <w:p>
            <w:pPr>
              <w:jc w:val="right"/>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十一、交通运输支出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rPr>
                <w:rFonts w:asciiTheme="minorEastAsia" w:hAnsiTheme="minorEastAsia" w:cstheme="minorEastAsia"/>
                <w:color w:val="000000"/>
                <w:sz w:val="22"/>
                <w:szCs w:val="22"/>
              </w:rPr>
            </w:pPr>
          </w:p>
        </w:tc>
        <w:tc>
          <w:tcPr>
            <w:tcW w:w="2650" w:type="dxa"/>
            <w:tcBorders>
              <w:top w:val="nil"/>
              <w:left w:val="nil"/>
              <w:bottom w:val="single" w:color="000000" w:sz="4" w:space="0"/>
              <w:right w:val="single" w:color="000000" w:sz="4" w:space="0"/>
            </w:tcBorders>
            <w:shd w:val="clear" w:color="auto" w:fill="auto"/>
            <w:vAlign w:val="center"/>
          </w:tcPr>
          <w:p>
            <w:pPr>
              <w:jc w:val="right"/>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十二、资源勘探工业信息等支出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rPr>
                <w:rFonts w:asciiTheme="minorEastAsia" w:hAnsiTheme="minorEastAsia" w:cstheme="minorEastAsia"/>
                <w:color w:val="000000"/>
                <w:sz w:val="22"/>
                <w:szCs w:val="22"/>
              </w:rPr>
            </w:pPr>
          </w:p>
        </w:tc>
        <w:tc>
          <w:tcPr>
            <w:tcW w:w="2650" w:type="dxa"/>
            <w:tcBorders>
              <w:top w:val="nil"/>
              <w:left w:val="nil"/>
              <w:bottom w:val="single" w:color="000000" w:sz="4" w:space="0"/>
              <w:right w:val="single" w:color="000000" w:sz="4" w:space="0"/>
            </w:tcBorders>
            <w:shd w:val="clear" w:color="auto" w:fill="auto"/>
            <w:vAlign w:val="center"/>
          </w:tcPr>
          <w:p>
            <w:pPr>
              <w:jc w:val="right"/>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十三、商业服务业等支出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rPr>
                <w:rFonts w:asciiTheme="minorEastAsia" w:hAnsiTheme="minorEastAsia" w:cstheme="minorEastAsia"/>
                <w:color w:val="000000"/>
                <w:sz w:val="22"/>
                <w:szCs w:val="22"/>
              </w:rPr>
            </w:pPr>
          </w:p>
        </w:tc>
        <w:tc>
          <w:tcPr>
            <w:tcW w:w="2650" w:type="dxa"/>
            <w:tcBorders>
              <w:top w:val="nil"/>
              <w:left w:val="nil"/>
              <w:bottom w:val="single" w:color="000000" w:sz="4" w:space="0"/>
              <w:right w:val="single" w:color="000000" w:sz="4" w:space="0"/>
            </w:tcBorders>
            <w:shd w:val="clear" w:color="auto" w:fill="auto"/>
            <w:vAlign w:val="center"/>
          </w:tcPr>
          <w:p>
            <w:pPr>
              <w:jc w:val="right"/>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十四、金融支出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rPr>
                <w:rFonts w:asciiTheme="minorEastAsia" w:hAnsiTheme="minorEastAsia" w:cstheme="minorEastAsia"/>
                <w:color w:val="000000"/>
                <w:sz w:val="22"/>
                <w:szCs w:val="22"/>
              </w:rPr>
            </w:pPr>
          </w:p>
        </w:tc>
        <w:tc>
          <w:tcPr>
            <w:tcW w:w="2650" w:type="dxa"/>
            <w:tcBorders>
              <w:top w:val="nil"/>
              <w:left w:val="nil"/>
              <w:bottom w:val="single" w:color="000000" w:sz="4" w:space="0"/>
              <w:right w:val="single" w:color="000000" w:sz="4" w:space="0"/>
            </w:tcBorders>
            <w:shd w:val="clear" w:color="auto" w:fill="auto"/>
            <w:vAlign w:val="center"/>
          </w:tcPr>
          <w:p>
            <w:pPr>
              <w:jc w:val="right"/>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十五、援助其他地区支出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rPr>
                <w:rFonts w:asciiTheme="minorEastAsia" w:hAnsiTheme="minorEastAsia" w:cstheme="minorEastAsia"/>
                <w:color w:val="000000"/>
                <w:sz w:val="22"/>
                <w:szCs w:val="22"/>
              </w:rPr>
            </w:pPr>
          </w:p>
        </w:tc>
        <w:tc>
          <w:tcPr>
            <w:tcW w:w="2650" w:type="dxa"/>
            <w:tcBorders>
              <w:top w:val="nil"/>
              <w:left w:val="nil"/>
              <w:bottom w:val="single" w:color="000000" w:sz="4" w:space="0"/>
              <w:right w:val="single" w:color="000000" w:sz="4" w:space="0"/>
            </w:tcBorders>
            <w:shd w:val="clear" w:color="auto" w:fill="auto"/>
            <w:vAlign w:val="center"/>
          </w:tcPr>
          <w:p>
            <w:pPr>
              <w:jc w:val="right"/>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十六、自然资源海洋气象等支出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rPr>
                <w:rFonts w:asciiTheme="minorEastAsia" w:hAnsiTheme="minorEastAsia" w:cstheme="minorEastAsia"/>
                <w:color w:val="000000"/>
                <w:sz w:val="22"/>
                <w:szCs w:val="22"/>
              </w:rPr>
            </w:pPr>
          </w:p>
        </w:tc>
        <w:tc>
          <w:tcPr>
            <w:tcW w:w="2650" w:type="dxa"/>
            <w:tcBorders>
              <w:top w:val="nil"/>
              <w:left w:val="nil"/>
              <w:bottom w:val="single" w:color="000000" w:sz="4" w:space="0"/>
              <w:right w:val="single" w:color="000000" w:sz="4" w:space="0"/>
            </w:tcBorders>
            <w:shd w:val="clear" w:color="auto" w:fill="auto"/>
            <w:vAlign w:val="center"/>
          </w:tcPr>
          <w:p>
            <w:pPr>
              <w:jc w:val="right"/>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十七、住房保障支出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rPr>
                <w:rFonts w:asciiTheme="minorEastAsia" w:hAnsiTheme="minorEastAsia" w:cstheme="minorEastAsia"/>
                <w:color w:val="000000"/>
                <w:sz w:val="22"/>
                <w:szCs w:val="22"/>
              </w:rPr>
            </w:pPr>
          </w:p>
        </w:tc>
        <w:tc>
          <w:tcPr>
            <w:tcW w:w="2650" w:type="dxa"/>
            <w:tcBorders>
              <w:top w:val="nil"/>
              <w:left w:val="nil"/>
              <w:bottom w:val="single" w:color="000000" w:sz="4" w:space="0"/>
              <w:right w:val="single" w:color="000000" w:sz="4" w:space="0"/>
            </w:tcBorders>
            <w:shd w:val="clear" w:color="auto" w:fill="auto"/>
            <w:vAlign w:val="center"/>
          </w:tcPr>
          <w:p>
            <w:pPr>
              <w:jc w:val="right"/>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十八、粮油物资储备支出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rPr>
                <w:rFonts w:asciiTheme="minorEastAsia" w:hAnsiTheme="minorEastAsia" w:cstheme="minorEastAsia"/>
                <w:color w:val="000000"/>
                <w:sz w:val="22"/>
                <w:szCs w:val="22"/>
              </w:rPr>
            </w:pPr>
          </w:p>
        </w:tc>
        <w:tc>
          <w:tcPr>
            <w:tcW w:w="2650" w:type="dxa"/>
            <w:tcBorders>
              <w:top w:val="nil"/>
              <w:left w:val="nil"/>
              <w:bottom w:val="single" w:color="000000" w:sz="4" w:space="0"/>
              <w:right w:val="single" w:color="000000" w:sz="4" w:space="0"/>
            </w:tcBorders>
            <w:shd w:val="clear" w:color="auto" w:fill="auto"/>
            <w:vAlign w:val="center"/>
          </w:tcPr>
          <w:p>
            <w:pPr>
              <w:jc w:val="right"/>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十九、国有资本经营预算支出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rPr>
                <w:rFonts w:asciiTheme="minorEastAsia" w:hAnsiTheme="minorEastAsia" w:cstheme="minorEastAsia"/>
                <w:color w:val="000000"/>
                <w:sz w:val="22"/>
                <w:szCs w:val="22"/>
              </w:rPr>
            </w:pPr>
          </w:p>
        </w:tc>
        <w:tc>
          <w:tcPr>
            <w:tcW w:w="2650" w:type="dxa"/>
            <w:tcBorders>
              <w:top w:val="nil"/>
              <w:left w:val="nil"/>
              <w:bottom w:val="single" w:color="000000" w:sz="4" w:space="0"/>
              <w:right w:val="single" w:color="000000" w:sz="4" w:space="0"/>
            </w:tcBorders>
            <w:shd w:val="clear" w:color="auto" w:fill="auto"/>
            <w:vAlign w:val="center"/>
          </w:tcPr>
          <w:p>
            <w:pPr>
              <w:jc w:val="right"/>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二十、灾害防治及应急管理支出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rPr>
                <w:rFonts w:asciiTheme="minorEastAsia" w:hAnsiTheme="minorEastAsia" w:cstheme="minorEastAsia"/>
                <w:color w:val="000000"/>
                <w:sz w:val="22"/>
                <w:szCs w:val="22"/>
              </w:rPr>
            </w:pPr>
          </w:p>
        </w:tc>
        <w:tc>
          <w:tcPr>
            <w:tcW w:w="2650" w:type="dxa"/>
            <w:tcBorders>
              <w:top w:val="nil"/>
              <w:left w:val="nil"/>
              <w:bottom w:val="single" w:color="000000" w:sz="4" w:space="0"/>
              <w:right w:val="single" w:color="000000" w:sz="4" w:space="0"/>
            </w:tcBorders>
            <w:shd w:val="clear" w:color="auto" w:fill="auto"/>
            <w:vAlign w:val="center"/>
          </w:tcPr>
          <w:p>
            <w:pPr>
              <w:jc w:val="right"/>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二十一、其他支出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rPr>
                <w:rFonts w:asciiTheme="minorEastAsia" w:hAnsiTheme="minorEastAsia" w:cstheme="minorEastAsia"/>
                <w:color w:val="000000"/>
                <w:sz w:val="22"/>
                <w:szCs w:val="22"/>
              </w:rPr>
            </w:pPr>
          </w:p>
        </w:tc>
        <w:tc>
          <w:tcPr>
            <w:tcW w:w="2650" w:type="dxa"/>
            <w:tcBorders>
              <w:top w:val="nil"/>
              <w:left w:val="nil"/>
              <w:bottom w:val="single" w:color="000000" w:sz="4" w:space="0"/>
              <w:right w:val="single" w:color="000000" w:sz="4" w:space="0"/>
            </w:tcBorders>
            <w:shd w:val="clear" w:color="auto" w:fill="auto"/>
            <w:vAlign w:val="center"/>
          </w:tcPr>
          <w:p>
            <w:pPr>
              <w:jc w:val="right"/>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二十二、债务付息支出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90"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rPr>
                <w:rFonts w:asciiTheme="minorEastAsia" w:hAnsiTheme="minorEastAsia" w:cstheme="minorEastAsia"/>
                <w:color w:val="000000"/>
                <w:sz w:val="22"/>
                <w:szCs w:val="22"/>
              </w:rPr>
            </w:pPr>
          </w:p>
        </w:tc>
        <w:tc>
          <w:tcPr>
            <w:tcW w:w="2650" w:type="dxa"/>
            <w:tcBorders>
              <w:top w:val="nil"/>
              <w:left w:val="nil"/>
              <w:bottom w:val="single" w:color="000000" w:sz="4" w:space="0"/>
              <w:right w:val="single" w:color="000000" w:sz="4" w:space="0"/>
            </w:tcBorders>
            <w:shd w:val="clear" w:color="auto" w:fill="auto"/>
            <w:vAlign w:val="center"/>
          </w:tcPr>
          <w:p>
            <w:pPr>
              <w:jc w:val="right"/>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二十三、抗疫特别国债安排的支出</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本年收入合计</w:t>
            </w:r>
          </w:p>
        </w:tc>
        <w:tc>
          <w:tcPr>
            <w:tcW w:w="26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43,529,130.07</w:t>
            </w:r>
          </w:p>
        </w:tc>
        <w:tc>
          <w:tcPr>
            <w:tcW w:w="3598"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本年支出合计</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43,529,130.07</w:t>
            </w: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十、使用非财政拨款结余</w:t>
            </w:r>
          </w:p>
        </w:tc>
        <w:tc>
          <w:tcPr>
            <w:tcW w:w="26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二十四、结余分配</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十一、年初结转和结余</w:t>
            </w:r>
          </w:p>
        </w:tc>
        <w:tc>
          <w:tcPr>
            <w:tcW w:w="26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二十五、年末结转和结余</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其中：财政拨款结转和结余</w:t>
            </w:r>
          </w:p>
        </w:tc>
        <w:tc>
          <w:tcPr>
            <w:tcW w:w="26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3044" w:type="dxa"/>
            <w:tcBorders>
              <w:top w:val="nil"/>
              <w:left w:val="nil"/>
              <w:bottom w:val="single" w:color="000000" w:sz="4" w:space="0"/>
              <w:right w:val="single" w:color="000000" w:sz="4" w:space="0"/>
            </w:tcBorders>
            <w:shd w:val="clear" w:color="auto" w:fill="auto"/>
            <w:noWrap/>
            <w:vAlign w:val="center"/>
          </w:tcPr>
          <w:p>
            <w:pPr>
              <w:jc w:val="right"/>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其他结转和结余</w:t>
            </w:r>
          </w:p>
        </w:tc>
        <w:tc>
          <w:tcPr>
            <w:tcW w:w="26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3598"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3044" w:type="dxa"/>
            <w:tcBorders>
              <w:top w:val="nil"/>
              <w:left w:val="nil"/>
              <w:bottom w:val="single" w:color="000000" w:sz="4" w:space="0"/>
              <w:right w:val="single" w:color="000000" w:sz="4" w:space="0"/>
            </w:tcBorders>
            <w:shd w:val="clear" w:color="auto" w:fill="auto"/>
            <w:noWrap/>
            <w:vAlign w:val="center"/>
          </w:tcPr>
          <w:p>
            <w:pPr>
              <w:jc w:val="right"/>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收入总计</w:t>
            </w:r>
          </w:p>
        </w:tc>
        <w:tc>
          <w:tcPr>
            <w:tcW w:w="2650"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43,529,130.07</w:t>
            </w:r>
          </w:p>
        </w:tc>
        <w:tc>
          <w:tcPr>
            <w:tcW w:w="3598"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支出总计</w:t>
            </w:r>
          </w:p>
        </w:tc>
        <w:tc>
          <w:tcPr>
            <w:tcW w:w="304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43,529,130.07</w:t>
            </w:r>
          </w:p>
        </w:tc>
      </w:tr>
      <w:tr>
        <w:tblPrEx>
          <w:tblCellMar>
            <w:top w:w="0" w:type="dxa"/>
            <w:left w:w="108" w:type="dxa"/>
            <w:bottom w:w="0" w:type="dxa"/>
            <w:right w:w="108" w:type="dxa"/>
          </w:tblCellMar>
        </w:tblPrEx>
        <w:trPr>
          <w:trHeight w:val="308" w:hRule="atLeast"/>
        </w:trPr>
        <w:tc>
          <w:tcPr>
            <w:tcW w:w="13989" w:type="dxa"/>
            <w:gridSpan w:val="4"/>
            <w:tcBorders>
              <w:top w:val="nil"/>
              <w:left w:val="nil"/>
              <w:bottom w:val="nil"/>
              <w:right w:val="nil"/>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注：本表反映本年度的总收支和年末结转结余情况。财政专户管理资金是指教育收费；事业收入不含教育收费。</w:t>
            </w:r>
          </w:p>
        </w:tc>
      </w:tr>
    </w:tbl>
    <w:p>
      <w:pPr>
        <w:rPr>
          <w:rFonts w:asciiTheme="minorEastAsia" w:hAnsiTheme="minorEastAsia" w:cstheme="minorEastAsia"/>
          <w:sz w:val="22"/>
          <w:szCs w:val="22"/>
        </w:rPr>
      </w:pPr>
      <w:r>
        <w:rPr>
          <w:rFonts w:hint="eastAsia" w:asciiTheme="minorEastAsia" w:hAnsiTheme="minorEastAsia" w:cstheme="minorEastAsia"/>
          <w:sz w:val="22"/>
          <w:szCs w:val="22"/>
        </w:rPr>
        <w:br w:type="page"/>
      </w:r>
    </w:p>
    <w:p>
      <w:pPr>
        <w:pStyle w:val="28"/>
        <w:widowControl/>
        <w:jc w:val="both"/>
        <w:rPr>
          <w:rFonts w:ascii="仿宋" w:hAnsi="仿宋" w:eastAsia="仿宋" w:cs="仿宋"/>
          <w:b/>
          <w:bCs/>
        </w:rPr>
      </w:pPr>
      <w:r>
        <w:rPr>
          <w:rFonts w:hint="eastAsia" w:ascii="仿宋" w:hAnsi="仿宋" w:eastAsia="仿宋" w:cs="仿宋"/>
          <w:b/>
          <w:bCs/>
        </w:rPr>
        <w:t>二、收入决算表(按功能分类列示)</w:t>
      </w:r>
    </w:p>
    <w:tbl>
      <w:tblPr>
        <w:tblStyle w:val="11"/>
        <w:tblW w:w="13991" w:type="dxa"/>
        <w:tblInd w:w="0" w:type="dxa"/>
        <w:tblLayout w:type="fixed"/>
        <w:tblCellMar>
          <w:top w:w="0" w:type="dxa"/>
          <w:left w:w="108" w:type="dxa"/>
          <w:bottom w:w="0" w:type="dxa"/>
          <w:right w:w="108" w:type="dxa"/>
        </w:tblCellMar>
      </w:tblPr>
      <w:tblGrid>
        <w:gridCol w:w="1027"/>
        <w:gridCol w:w="2888"/>
        <w:gridCol w:w="1387"/>
        <w:gridCol w:w="1250"/>
        <w:gridCol w:w="1300"/>
        <w:gridCol w:w="1238"/>
        <w:gridCol w:w="1175"/>
        <w:gridCol w:w="1246"/>
        <w:gridCol w:w="1216"/>
        <w:gridCol w:w="1264"/>
      </w:tblGrid>
      <w:tr>
        <w:tblPrEx>
          <w:tblCellMar>
            <w:top w:w="0" w:type="dxa"/>
            <w:left w:w="108" w:type="dxa"/>
            <w:bottom w:w="0" w:type="dxa"/>
            <w:right w:w="108" w:type="dxa"/>
          </w:tblCellMar>
        </w:tblPrEx>
        <w:trPr>
          <w:trHeight w:val="320" w:hRule="atLeast"/>
        </w:trPr>
        <w:tc>
          <w:tcPr>
            <w:tcW w:w="12727" w:type="dxa"/>
            <w:gridSpan w:val="9"/>
            <w:tcBorders>
              <w:top w:val="nil"/>
              <w:left w:val="nil"/>
              <w:bottom w:val="nil"/>
              <w:right w:val="nil"/>
            </w:tcBorders>
            <w:shd w:val="clear" w:color="auto" w:fill="auto"/>
            <w:noWrap/>
            <w:vAlign w:val="bottom"/>
          </w:tcPr>
          <w:p>
            <w:pPr>
              <w:widowControl/>
              <w:textAlignment w:val="bottom"/>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部门（单位）：中国共产党天津市南开区纪律检查委员会（本级） </w:t>
            </w:r>
          </w:p>
        </w:tc>
        <w:tc>
          <w:tcPr>
            <w:tcW w:w="1264" w:type="dxa"/>
            <w:tcBorders>
              <w:top w:val="nil"/>
              <w:left w:val="nil"/>
              <w:bottom w:val="nil"/>
              <w:right w:val="nil"/>
            </w:tcBorders>
            <w:shd w:val="clear" w:color="auto" w:fill="auto"/>
            <w:noWrap/>
            <w:vAlign w:val="bottom"/>
          </w:tcPr>
          <w:p>
            <w:pPr>
              <w:widowControl/>
              <w:textAlignment w:val="bottom"/>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单位：元</w:t>
            </w:r>
          </w:p>
        </w:tc>
      </w:tr>
      <w:tr>
        <w:tblPrEx>
          <w:tblCellMar>
            <w:top w:w="0" w:type="dxa"/>
            <w:left w:w="108" w:type="dxa"/>
            <w:bottom w:w="0" w:type="dxa"/>
            <w:right w:w="108" w:type="dxa"/>
          </w:tblCellMar>
        </w:tblPrEx>
        <w:trPr>
          <w:trHeight w:val="308" w:hRule="atLeast"/>
        </w:trPr>
        <w:tc>
          <w:tcPr>
            <w:tcW w:w="39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项      目</w:t>
            </w:r>
          </w:p>
        </w:tc>
        <w:tc>
          <w:tcPr>
            <w:tcW w:w="1387"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本年收入合计</w:t>
            </w:r>
          </w:p>
        </w:tc>
        <w:tc>
          <w:tcPr>
            <w:tcW w:w="1250"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财政拨款收入</w:t>
            </w:r>
          </w:p>
        </w:tc>
        <w:tc>
          <w:tcPr>
            <w:tcW w:w="1300"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上级补助收入</w:t>
            </w:r>
          </w:p>
        </w:tc>
        <w:tc>
          <w:tcPr>
            <w:tcW w:w="2413" w:type="dxa"/>
            <w:gridSpan w:val="2"/>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事业收入</w:t>
            </w:r>
          </w:p>
        </w:tc>
        <w:tc>
          <w:tcPr>
            <w:tcW w:w="1246"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经营收入</w:t>
            </w:r>
          </w:p>
        </w:tc>
        <w:tc>
          <w:tcPr>
            <w:tcW w:w="1216"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附属单位上缴收入</w:t>
            </w:r>
          </w:p>
        </w:tc>
        <w:tc>
          <w:tcPr>
            <w:tcW w:w="1264"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其他收入</w:t>
            </w:r>
          </w:p>
        </w:tc>
      </w:tr>
      <w:tr>
        <w:tblPrEx>
          <w:tblCellMar>
            <w:top w:w="0" w:type="dxa"/>
            <w:left w:w="108" w:type="dxa"/>
            <w:bottom w:w="0" w:type="dxa"/>
            <w:right w:w="108" w:type="dxa"/>
          </w:tblCellMar>
        </w:tblPrEx>
        <w:trPr>
          <w:trHeight w:val="308" w:hRule="atLeast"/>
        </w:trPr>
        <w:tc>
          <w:tcPr>
            <w:tcW w:w="1027" w:type="dxa"/>
            <w:tcBorders>
              <w:top w:val="nil"/>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科目编码</w:t>
            </w:r>
          </w:p>
        </w:tc>
        <w:tc>
          <w:tcPr>
            <w:tcW w:w="2888"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科目名称</w:t>
            </w:r>
          </w:p>
        </w:tc>
        <w:tc>
          <w:tcPr>
            <w:tcW w:w="1387"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asciiTheme="minorEastAsia" w:hAnsiTheme="minorEastAsia" w:cstheme="minorEastAsia"/>
                <w:color w:val="000000"/>
                <w:sz w:val="15"/>
                <w:szCs w:val="15"/>
              </w:rPr>
            </w:pPr>
          </w:p>
        </w:tc>
        <w:tc>
          <w:tcPr>
            <w:tcW w:w="1250"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asciiTheme="minorEastAsia" w:hAnsiTheme="minorEastAsia" w:cstheme="minorEastAsia"/>
                <w:color w:val="000000"/>
                <w:sz w:val="15"/>
                <w:szCs w:val="15"/>
              </w:rPr>
            </w:pPr>
          </w:p>
        </w:tc>
        <w:tc>
          <w:tcPr>
            <w:tcW w:w="1300"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asciiTheme="minorEastAsia" w:hAnsiTheme="minorEastAsia" w:cstheme="minorEastAsia"/>
                <w:color w:val="000000"/>
                <w:sz w:val="15"/>
                <w:szCs w:val="15"/>
              </w:rPr>
            </w:pPr>
          </w:p>
        </w:tc>
        <w:tc>
          <w:tcPr>
            <w:tcW w:w="1238"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小计</w:t>
            </w:r>
          </w:p>
        </w:tc>
        <w:tc>
          <w:tcPr>
            <w:tcW w:w="1175"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其中：教育收费</w:t>
            </w:r>
          </w:p>
        </w:tc>
        <w:tc>
          <w:tcPr>
            <w:tcW w:w="1246" w:type="dxa"/>
            <w:vMerge w:val="continue"/>
            <w:tcBorders>
              <w:top w:val="single" w:color="000000" w:sz="4" w:space="0"/>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15"/>
                <w:szCs w:val="15"/>
              </w:rPr>
            </w:pPr>
          </w:p>
        </w:tc>
        <w:tc>
          <w:tcPr>
            <w:tcW w:w="1216" w:type="dxa"/>
            <w:vMerge w:val="continue"/>
            <w:tcBorders>
              <w:top w:val="single" w:color="000000" w:sz="4" w:space="0"/>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15"/>
                <w:szCs w:val="15"/>
              </w:rPr>
            </w:pPr>
          </w:p>
        </w:tc>
        <w:tc>
          <w:tcPr>
            <w:tcW w:w="1264" w:type="dxa"/>
            <w:vMerge w:val="continue"/>
            <w:tcBorders>
              <w:top w:val="single" w:color="000000" w:sz="4" w:space="0"/>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15"/>
                <w:szCs w:val="15"/>
              </w:rPr>
            </w:pPr>
          </w:p>
        </w:tc>
      </w:tr>
      <w:tr>
        <w:tblPrEx>
          <w:tblCellMar>
            <w:top w:w="0" w:type="dxa"/>
            <w:left w:w="108" w:type="dxa"/>
            <w:bottom w:w="0" w:type="dxa"/>
            <w:right w:w="108" w:type="dxa"/>
          </w:tblCellMar>
        </w:tblPrEx>
        <w:trPr>
          <w:trHeight w:val="880" w:hRule="atLeast"/>
        </w:trPr>
        <w:tc>
          <w:tcPr>
            <w:tcW w:w="3915" w:type="dxa"/>
            <w:gridSpan w:val="2"/>
            <w:tcBorders>
              <w:top w:val="nil"/>
              <w:left w:val="single" w:color="000000" w:sz="4" w:space="0"/>
              <w:bottom w:val="nil"/>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合计</w:t>
            </w:r>
          </w:p>
        </w:tc>
        <w:tc>
          <w:tcPr>
            <w:tcW w:w="1387" w:type="dxa"/>
            <w:tcBorders>
              <w:top w:val="nil"/>
              <w:left w:val="nil"/>
              <w:bottom w:val="nil"/>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43,529,130.07</w:t>
            </w:r>
          </w:p>
        </w:tc>
        <w:tc>
          <w:tcPr>
            <w:tcW w:w="1250" w:type="dxa"/>
            <w:tcBorders>
              <w:top w:val="nil"/>
              <w:left w:val="nil"/>
              <w:bottom w:val="nil"/>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43,529,130.07</w:t>
            </w:r>
          </w:p>
        </w:tc>
        <w:tc>
          <w:tcPr>
            <w:tcW w:w="1300" w:type="dxa"/>
            <w:tcBorders>
              <w:top w:val="nil"/>
              <w:left w:val="nil"/>
              <w:bottom w:val="nil"/>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38" w:type="dxa"/>
            <w:tcBorders>
              <w:top w:val="nil"/>
              <w:left w:val="nil"/>
              <w:bottom w:val="nil"/>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175" w:type="dxa"/>
            <w:tcBorders>
              <w:top w:val="nil"/>
              <w:left w:val="nil"/>
              <w:bottom w:val="nil"/>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46" w:type="dxa"/>
            <w:tcBorders>
              <w:top w:val="nil"/>
              <w:left w:val="nil"/>
              <w:bottom w:val="nil"/>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16" w:type="dxa"/>
            <w:tcBorders>
              <w:top w:val="nil"/>
              <w:left w:val="nil"/>
              <w:bottom w:val="nil"/>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64" w:type="dxa"/>
            <w:tcBorders>
              <w:top w:val="nil"/>
              <w:left w:val="nil"/>
              <w:bottom w:val="nil"/>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r>
      <w:tr>
        <w:tblPrEx>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201</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一般公共服务支出</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37,908,140.94</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37,908,140.94</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r>
      <w:tr>
        <w:tblPrEx>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20111</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纪检监察事务</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37,908,140.94</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37,908,140.94</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r>
      <w:tr>
        <w:tblPrEx>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2011101</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行政运行</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31,928,782.90</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31,928,782.90</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r>
      <w:tr>
        <w:tblPrEx>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2011102</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一般行政管理事务</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200,000.00</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200,000.00</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r>
      <w:tr>
        <w:tblPrEx>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2011199</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其他纪检监察事务支出</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5,779,358.04</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5,779,358.04</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r>
      <w:tr>
        <w:tblPrEx>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208</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社会保障和就业支出</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3,747,321.38</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3,747,321.38</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r>
      <w:tr>
        <w:tblPrEx>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20805</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行政事业单位养老支出</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3,747,321.38</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3,747,321.38</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r>
      <w:tr>
        <w:tblPrEx>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2080505</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机关事业单位基本养老保险缴费支出</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2,498,236.58</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2,498,236.58</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r>
      <w:tr>
        <w:tblPrEx>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2080506</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机关事业单位职业年金缴费支出</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1,249,084.80</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1,249,084.80</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r>
      <w:tr>
        <w:tblPrEx>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210</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卫生健康支出</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1,873,667.75</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1,873,667.75</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r>
      <w:tr>
        <w:tblPrEx>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21011</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行政事业单位医疗</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1,873,667.75</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1,873,667.75</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r>
      <w:tr>
        <w:tblPrEx>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2101101</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行政单位医疗</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1,561,396.55</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1,561,396.55</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r>
      <w:tr>
        <w:tblPrEx>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2101103</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公务员医疗补助</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312,271.20</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r>
              <w:rPr>
                <w:rFonts w:hint="eastAsia" w:asciiTheme="minorEastAsia" w:hAnsiTheme="minorEastAsia" w:cstheme="minorEastAsia"/>
                <w:color w:val="000000"/>
                <w:sz w:val="15"/>
                <w:szCs w:val="15"/>
              </w:rPr>
              <w:t>312,271.20</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5"/>
                <w:szCs w:val="15"/>
              </w:rPr>
            </w:pPr>
          </w:p>
        </w:tc>
      </w:tr>
      <w:tr>
        <w:tblPrEx>
          <w:tblCellMar>
            <w:top w:w="0" w:type="dxa"/>
            <w:left w:w="108" w:type="dxa"/>
            <w:bottom w:w="0" w:type="dxa"/>
            <w:right w:w="108" w:type="dxa"/>
          </w:tblCellMar>
        </w:tblPrEx>
        <w:trPr>
          <w:trHeight w:val="308" w:hRule="atLeast"/>
        </w:trPr>
        <w:tc>
          <w:tcPr>
            <w:tcW w:w="13991" w:type="dxa"/>
            <w:gridSpan w:val="10"/>
            <w:tcBorders>
              <w:top w:val="nil"/>
              <w:left w:val="nil"/>
              <w:bottom w:val="nil"/>
              <w:right w:val="nil"/>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注：本表反映本年度取得的各项收入情况。</w:t>
            </w:r>
          </w:p>
        </w:tc>
      </w:tr>
    </w:tbl>
    <w:p>
      <w:pPr>
        <w:rPr>
          <w:rFonts w:asciiTheme="minorEastAsia" w:hAnsiTheme="minorEastAsia" w:cstheme="minorEastAsia"/>
          <w:sz w:val="22"/>
          <w:szCs w:val="22"/>
        </w:rPr>
      </w:pPr>
      <w:r>
        <w:rPr>
          <w:rFonts w:hint="eastAsia" w:asciiTheme="minorEastAsia" w:hAnsiTheme="minorEastAsia" w:cstheme="minorEastAsia"/>
          <w:sz w:val="22"/>
          <w:szCs w:val="22"/>
        </w:rPr>
        <w:br w:type="page"/>
      </w:r>
    </w:p>
    <w:p>
      <w:pPr>
        <w:pStyle w:val="28"/>
        <w:widowControl/>
        <w:jc w:val="both"/>
        <w:rPr>
          <w:rFonts w:ascii="仿宋" w:hAnsi="仿宋" w:eastAsia="仿宋" w:cs="仿宋"/>
          <w:b/>
          <w:bCs/>
        </w:rPr>
      </w:pPr>
      <w:r>
        <w:rPr>
          <w:rFonts w:hint="eastAsia" w:ascii="仿宋" w:hAnsi="仿宋" w:eastAsia="仿宋" w:cs="仿宋"/>
          <w:b/>
          <w:bCs/>
        </w:rPr>
        <w:t>三、收入决算表(按单位列示)</w:t>
      </w:r>
    </w:p>
    <w:tbl>
      <w:tblPr>
        <w:tblStyle w:val="11"/>
        <w:tblW w:w="13992" w:type="dxa"/>
        <w:tblInd w:w="0" w:type="dxa"/>
        <w:tblLayout w:type="fixed"/>
        <w:tblCellMar>
          <w:top w:w="0" w:type="dxa"/>
          <w:left w:w="108" w:type="dxa"/>
          <w:bottom w:w="0" w:type="dxa"/>
          <w:right w:w="108" w:type="dxa"/>
        </w:tblCellMar>
      </w:tblPr>
      <w:tblGrid>
        <w:gridCol w:w="527"/>
        <w:gridCol w:w="1050"/>
        <w:gridCol w:w="550"/>
        <w:gridCol w:w="613"/>
        <w:gridCol w:w="650"/>
        <w:gridCol w:w="612"/>
        <w:gridCol w:w="663"/>
        <w:gridCol w:w="712"/>
        <w:gridCol w:w="650"/>
        <w:gridCol w:w="688"/>
        <w:gridCol w:w="650"/>
        <w:gridCol w:w="662"/>
        <w:gridCol w:w="353"/>
        <w:gridCol w:w="260"/>
        <w:gridCol w:w="625"/>
        <w:gridCol w:w="700"/>
        <w:gridCol w:w="712"/>
        <w:gridCol w:w="688"/>
        <w:gridCol w:w="712"/>
        <w:gridCol w:w="638"/>
        <w:gridCol w:w="638"/>
        <w:gridCol w:w="639"/>
      </w:tblGrid>
      <w:tr>
        <w:tblPrEx>
          <w:tblCellMar>
            <w:top w:w="0" w:type="dxa"/>
            <w:left w:w="108" w:type="dxa"/>
            <w:bottom w:w="0" w:type="dxa"/>
            <w:right w:w="108" w:type="dxa"/>
          </w:tblCellMar>
        </w:tblPrEx>
        <w:trPr>
          <w:trHeight w:val="320" w:hRule="atLeast"/>
        </w:trPr>
        <w:tc>
          <w:tcPr>
            <w:tcW w:w="6027" w:type="dxa"/>
            <w:gridSpan w:val="9"/>
            <w:tcBorders>
              <w:top w:val="nil"/>
              <w:left w:val="nil"/>
              <w:bottom w:val="nil"/>
              <w:right w:val="nil"/>
            </w:tcBorders>
            <w:shd w:val="clear" w:color="auto" w:fill="auto"/>
            <w:noWrap/>
            <w:vAlign w:val="bottom"/>
          </w:tcPr>
          <w:p>
            <w:pPr>
              <w:widowControl/>
              <w:textAlignment w:val="bottom"/>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 xml:space="preserve">部门（单位）：中国共产党天津市南开区纪律检查委员会（本级） </w:t>
            </w:r>
          </w:p>
        </w:tc>
        <w:tc>
          <w:tcPr>
            <w:tcW w:w="688" w:type="dxa"/>
            <w:tcBorders>
              <w:top w:val="nil"/>
              <w:left w:val="nil"/>
              <w:bottom w:val="nil"/>
              <w:right w:val="nil"/>
            </w:tcBorders>
            <w:shd w:val="clear" w:color="auto" w:fill="auto"/>
            <w:noWrap/>
            <w:vAlign w:val="bottom"/>
          </w:tcPr>
          <w:p>
            <w:pPr>
              <w:rPr>
                <w:rFonts w:asciiTheme="minorEastAsia" w:hAnsiTheme="minorEastAsia" w:cstheme="minorEastAsia"/>
                <w:color w:val="000000"/>
                <w:sz w:val="18"/>
                <w:szCs w:val="18"/>
              </w:rPr>
            </w:pPr>
          </w:p>
        </w:tc>
        <w:tc>
          <w:tcPr>
            <w:tcW w:w="650" w:type="dxa"/>
            <w:tcBorders>
              <w:top w:val="nil"/>
              <w:left w:val="nil"/>
              <w:bottom w:val="nil"/>
              <w:right w:val="nil"/>
            </w:tcBorders>
            <w:shd w:val="clear" w:color="auto" w:fill="auto"/>
            <w:noWrap/>
            <w:vAlign w:val="bottom"/>
          </w:tcPr>
          <w:p>
            <w:pPr>
              <w:rPr>
                <w:rFonts w:asciiTheme="minorEastAsia" w:hAnsiTheme="minorEastAsia" w:cstheme="minorEastAsia"/>
                <w:color w:val="000000"/>
                <w:sz w:val="18"/>
                <w:szCs w:val="18"/>
              </w:rPr>
            </w:pPr>
          </w:p>
        </w:tc>
        <w:tc>
          <w:tcPr>
            <w:tcW w:w="662" w:type="dxa"/>
            <w:tcBorders>
              <w:top w:val="nil"/>
              <w:left w:val="nil"/>
              <w:bottom w:val="nil"/>
              <w:right w:val="nil"/>
            </w:tcBorders>
            <w:shd w:val="clear" w:color="auto" w:fill="auto"/>
            <w:noWrap/>
            <w:vAlign w:val="bottom"/>
          </w:tcPr>
          <w:p>
            <w:pPr>
              <w:rPr>
                <w:rFonts w:asciiTheme="minorEastAsia" w:hAnsiTheme="minorEastAsia" w:cstheme="minorEastAsia"/>
                <w:color w:val="000000"/>
                <w:sz w:val="18"/>
                <w:szCs w:val="18"/>
              </w:rPr>
            </w:pPr>
          </w:p>
        </w:tc>
        <w:tc>
          <w:tcPr>
            <w:tcW w:w="353" w:type="dxa"/>
            <w:tcBorders>
              <w:top w:val="nil"/>
              <w:left w:val="nil"/>
              <w:bottom w:val="nil"/>
              <w:right w:val="nil"/>
            </w:tcBorders>
            <w:shd w:val="clear" w:color="auto" w:fill="auto"/>
            <w:noWrap/>
            <w:vAlign w:val="bottom"/>
          </w:tcPr>
          <w:p>
            <w:pPr>
              <w:rPr>
                <w:rFonts w:asciiTheme="minorEastAsia" w:hAnsiTheme="minorEastAsia" w:cstheme="minorEastAsia"/>
                <w:color w:val="000000"/>
                <w:sz w:val="18"/>
                <w:szCs w:val="18"/>
              </w:rPr>
            </w:pPr>
          </w:p>
        </w:tc>
        <w:tc>
          <w:tcPr>
            <w:tcW w:w="885" w:type="dxa"/>
            <w:gridSpan w:val="2"/>
            <w:tcBorders>
              <w:top w:val="nil"/>
              <w:left w:val="nil"/>
              <w:bottom w:val="nil"/>
              <w:right w:val="nil"/>
            </w:tcBorders>
            <w:shd w:val="clear" w:color="auto" w:fill="auto"/>
            <w:noWrap/>
            <w:vAlign w:val="bottom"/>
          </w:tcPr>
          <w:p>
            <w:pPr>
              <w:rPr>
                <w:rFonts w:asciiTheme="minorEastAsia" w:hAnsiTheme="minorEastAsia" w:cstheme="minorEastAsia"/>
                <w:color w:val="000000"/>
                <w:sz w:val="18"/>
                <w:szCs w:val="18"/>
              </w:rPr>
            </w:pPr>
          </w:p>
        </w:tc>
        <w:tc>
          <w:tcPr>
            <w:tcW w:w="700" w:type="dxa"/>
            <w:tcBorders>
              <w:top w:val="nil"/>
              <w:left w:val="nil"/>
              <w:bottom w:val="nil"/>
              <w:right w:val="nil"/>
            </w:tcBorders>
            <w:shd w:val="clear" w:color="auto" w:fill="auto"/>
            <w:noWrap/>
            <w:vAlign w:val="bottom"/>
          </w:tcPr>
          <w:p>
            <w:pPr>
              <w:rPr>
                <w:rFonts w:asciiTheme="minorEastAsia" w:hAnsiTheme="minorEastAsia" w:cstheme="minorEastAsia"/>
                <w:color w:val="000000"/>
                <w:sz w:val="18"/>
                <w:szCs w:val="18"/>
              </w:rPr>
            </w:pPr>
          </w:p>
        </w:tc>
        <w:tc>
          <w:tcPr>
            <w:tcW w:w="712" w:type="dxa"/>
            <w:tcBorders>
              <w:top w:val="nil"/>
              <w:left w:val="nil"/>
              <w:bottom w:val="nil"/>
              <w:right w:val="nil"/>
            </w:tcBorders>
            <w:shd w:val="clear" w:color="auto" w:fill="auto"/>
            <w:noWrap/>
            <w:vAlign w:val="bottom"/>
          </w:tcPr>
          <w:p>
            <w:pPr>
              <w:rPr>
                <w:rFonts w:asciiTheme="minorEastAsia" w:hAnsiTheme="minorEastAsia" w:cstheme="minorEastAsia"/>
                <w:color w:val="000000"/>
                <w:sz w:val="18"/>
                <w:szCs w:val="18"/>
              </w:rPr>
            </w:pPr>
          </w:p>
        </w:tc>
        <w:tc>
          <w:tcPr>
            <w:tcW w:w="688" w:type="dxa"/>
            <w:tcBorders>
              <w:top w:val="nil"/>
              <w:left w:val="nil"/>
              <w:bottom w:val="nil"/>
              <w:right w:val="nil"/>
            </w:tcBorders>
            <w:shd w:val="clear" w:color="auto" w:fill="auto"/>
            <w:noWrap/>
            <w:vAlign w:val="bottom"/>
          </w:tcPr>
          <w:p>
            <w:pPr>
              <w:rPr>
                <w:rFonts w:asciiTheme="minorEastAsia" w:hAnsiTheme="minorEastAsia" w:cstheme="minorEastAsia"/>
                <w:color w:val="000000"/>
                <w:sz w:val="18"/>
                <w:szCs w:val="18"/>
              </w:rPr>
            </w:pPr>
          </w:p>
        </w:tc>
        <w:tc>
          <w:tcPr>
            <w:tcW w:w="712" w:type="dxa"/>
            <w:tcBorders>
              <w:top w:val="nil"/>
              <w:left w:val="nil"/>
              <w:bottom w:val="nil"/>
              <w:right w:val="nil"/>
            </w:tcBorders>
            <w:shd w:val="clear" w:color="auto" w:fill="auto"/>
            <w:noWrap/>
            <w:vAlign w:val="bottom"/>
          </w:tcPr>
          <w:p>
            <w:pPr>
              <w:rPr>
                <w:rFonts w:asciiTheme="minorEastAsia" w:hAnsiTheme="minorEastAsia" w:cstheme="minorEastAsia"/>
                <w:color w:val="000000"/>
                <w:sz w:val="18"/>
                <w:szCs w:val="18"/>
              </w:rPr>
            </w:pPr>
          </w:p>
        </w:tc>
        <w:tc>
          <w:tcPr>
            <w:tcW w:w="638" w:type="dxa"/>
            <w:tcBorders>
              <w:top w:val="nil"/>
              <w:left w:val="nil"/>
              <w:bottom w:val="nil"/>
              <w:right w:val="nil"/>
            </w:tcBorders>
            <w:shd w:val="clear" w:color="auto" w:fill="auto"/>
            <w:noWrap/>
            <w:vAlign w:val="bottom"/>
          </w:tcPr>
          <w:p>
            <w:pPr>
              <w:rPr>
                <w:rFonts w:asciiTheme="minorEastAsia" w:hAnsiTheme="minorEastAsia" w:cstheme="minorEastAsia"/>
                <w:color w:val="000000"/>
                <w:sz w:val="18"/>
                <w:szCs w:val="18"/>
              </w:rPr>
            </w:pPr>
          </w:p>
        </w:tc>
        <w:tc>
          <w:tcPr>
            <w:tcW w:w="1277" w:type="dxa"/>
            <w:gridSpan w:val="2"/>
            <w:tcBorders>
              <w:top w:val="nil"/>
              <w:left w:val="nil"/>
              <w:bottom w:val="nil"/>
              <w:right w:val="nil"/>
            </w:tcBorders>
            <w:shd w:val="clear" w:color="auto" w:fill="auto"/>
            <w:noWrap/>
            <w:vAlign w:val="bottom"/>
          </w:tcPr>
          <w:p>
            <w:pPr>
              <w:widowControl/>
              <w:textAlignment w:val="bottom"/>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单位：元</w:t>
            </w:r>
          </w:p>
        </w:tc>
      </w:tr>
      <w:tr>
        <w:tblPrEx>
          <w:tblCellMar>
            <w:top w:w="0" w:type="dxa"/>
            <w:left w:w="108" w:type="dxa"/>
            <w:bottom w:w="0" w:type="dxa"/>
            <w:right w:w="108" w:type="dxa"/>
          </w:tblCellMar>
        </w:tblPrEx>
        <w:trPr>
          <w:trHeight w:val="308" w:hRule="atLeast"/>
        </w:trPr>
        <w:tc>
          <w:tcPr>
            <w:tcW w:w="5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部门（单位）代码</w:t>
            </w:r>
          </w:p>
        </w:tc>
        <w:tc>
          <w:tcPr>
            <w:tcW w:w="1050" w:type="dxa"/>
            <w:vMerge w:val="restart"/>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部门（单位）名称</w:t>
            </w:r>
          </w:p>
        </w:tc>
        <w:tc>
          <w:tcPr>
            <w:tcW w:w="550" w:type="dxa"/>
            <w:vMerge w:val="restart"/>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合计</w:t>
            </w:r>
          </w:p>
        </w:tc>
        <w:tc>
          <w:tcPr>
            <w:tcW w:w="6513" w:type="dxa"/>
            <w:gridSpan w:val="11"/>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本年收入</w:t>
            </w:r>
          </w:p>
        </w:tc>
        <w:tc>
          <w:tcPr>
            <w:tcW w:w="5352" w:type="dxa"/>
            <w:gridSpan w:val="8"/>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上年结转和结余</w:t>
            </w:r>
          </w:p>
        </w:tc>
      </w:tr>
      <w:tr>
        <w:tblPrEx>
          <w:tblCellMar>
            <w:top w:w="0" w:type="dxa"/>
            <w:left w:w="108" w:type="dxa"/>
            <w:bottom w:w="0" w:type="dxa"/>
            <w:right w:w="108" w:type="dxa"/>
          </w:tblCellMar>
        </w:tblPrEx>
        <w:trPr>
          <w:trHeight w:val="308" w:hRule="atLeast"/>
        </w:trPr>
        <w:tc>
          <w:tcPr>
            <w:tcW w:w="5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3"/>
                <w:szCs w:val="13"/>
              </w:rPr>
            </w:pPr>
          </w:p>
        </w:tc>
        <w:tc>
          <w:tcPr>
            <w:tcW w:w="1050"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3"/>
                <w:szCs w:val="13"/>
              </w:rPr>
            </w:pPr>
          </w:p>
        </w:tc>
        <w:tc>
          <w:tcPr>
            <w:tcW w:w="550"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3"/>
                <w:szCs w:val="13"/>
              </w:rPr>
            </w:pPr>
          </w:p>
        </w:tc>
        <w:tc>
          <w:tcPr>
            <w:tcW w:w="613" w:type="dxa"/>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小计</w:t>
            </w:r>
          </w:p>
        </w:tc>
        <w:tc>
          <w:tcPr>
            <w:tcW w:w="650" w:type="dxa"/>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一般公共预算</w:t>
            </w:r>
          </w:p>
        </w:tc>
        <w:tc>
          <w:tcPr>
            <w:tcW w:w="612" w:type="dxa"/>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政府性基金预算</w:t>
            </w:r>
          </w:p>
        </w:tc>
        <w:tc>
          <w:tcPr>
            <w:tcW w:w="663" w:type="dxa"/>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国有资本经营预算</w:t>
            </w:r>
          </w:p>
        </w:tc>
        <w:tc>
          <w:tcPr>
            <w:tcW w:w="712" w:type="dxa"/>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财政专户管理资金</w:t>
            </w:r>
          </w:p>
        </w:tc>
        <w:tc>
          <w:tcPr>
            <w:tcW w:w="650" w:type="dxa"/>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事业收入</w:t>
            </w:r>
          </w:p>
        </w:tc>
        <w:tc>
          <w:tcPr>
            <w:tcW w:w="688" w:type="dxa"/>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事业单位经营收入</w:t>
            </w:r>
          </w:p>
        </w:tc>
        <w:tc>
          <w:tcPr>
            <w:tcW w:w="650" w:type="dxa"/>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上级补助收入</w:t>
            </w:r>
          </w:p>
        </w:tc>
        <w:tc>
          <w:tcPr>
            <w:tcW w:w="662" w:type="dxa"/>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附属单位上缴收入</w:t>
            </w:r>
          </w:p>
        </w:tc>
        <w:tc>
          <w:tcPr>
            <w:tcW w:w="613" w:type="dxa"/>
            <w:gridSpan w:val="2"/>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其他收入</w:t>
            </w:r>
          </w:p>
        </w:tc>
        <w:tc>
          <w:tcPr>
            <w:tcW w:w="625" w:type="dxa"/>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小计</w:t>
            </w:r>
          </w:p>
        </w:tc>
        <w:tc>
          <w:tcPr>
            <w:tcW w:w="2812" w:type="dxa"/>
            <w:gridSpan w:val="4"/>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财政拨款结转结余</w:t>
            </w:r>
          </w:p>
        </w:tc>
        <w:tc>
          <w:tcPr>
            <w:tcW w:w="1915" w:type="dxa"/>
            <w:gridSpan w:val="3"/>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非财政拨款结转结余</w:t>
            </w:r>
          </w:p>
        </w:tc>
      </w:tr>
      <w:tr>
        <w:tblPrEx>
          <w:tblCellMar>
            <w:top w:w="0" w:type="dxa"/>
            <w:left w:w="108" w:type="dxa"/>
            <w:bottom w:w="0" w:type="dxa"/>
            <w:right w:w="108" w:type="dxa"/>
          </w:tblCellMar>
        </w:tblPrEx>
        <w:trPr>
          <w:trHeight w:val="780" w:hRule="atLeast"/>
        </w:trPr>
        <w:tc>
          <w:tcPr>
            <w:tcW w:w="5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3"/>
                <w:szCs w:val="13"/>
              </w:rPr>
            </w:pPr>
          </w:p>
        </w:tc>
        <w:tc>
          <w:tcPr>
            <w:tcW w:w="1050"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3"/>
                <w:szCs w:val="13"/>
              </w:rPr>
            </w:pPr>
          </w:p>
        </w:tc>
        <w:tc>
          <w:tcPr>
            <w:tcW w:w="550"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3"/>
                <w:szCs w:val="13"/>
              </w:rPr>
            </w:pPr>
          </w:p>
        </w:tc>
        <w:tc>
          <w:tcPr>
            <w:tcW w:w="613" w:type="dxa"/>
            <w:vMerge w:val="continue"/>
            <w:tcBorders>
              <w:top w:val="nil"/>
              <w:left w:val="nil"/>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3"/>
                <w:szCs w:val="13"/>
              </w:rPr>
            </w:pPr>
          </w:p>
        </w:tc>
        <w:tc>
          <w:tcPr>
            <w:tcW w:w="650" w:type="dxa"/>
            <w:vMerge w:val="continue"/>
            <w:tcBorders>
              <w:top w:val="nil"/>
              <w:left w:val="nil"/>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3"/>
                <w:szCs w:val="13"/>
              </w:rPr>
            </w:pPr>
          </w:p>
        </w:tc>
        <w:tc>
          <w:tcPr>
            <w:tcW w:w="612" w:type="dxa"/>
            <w:vMerge w:val="continue"/>
            <w:tcBorders>
              <w:top w:val="nil"/>
              <w:left w:val="nil"/>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3"/>
                <w:szCs w:val="13"/>
              </w:rPr>
            </w:pPr>
          </w:p>
        </w:tc>
        <w:tc>
          <w:tcPr>
            <w:tcW w:w="663" w:type="dxa"/>
            <w:vMerge w:val="continue"/>
            <w:tcBorders>
              <w:top w:val="nil"/>
              <w:left w:val="nil"/>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3"/>
                <w:szCs w:val="13"/>
              </w:rPr>
            </w:pPr>
          </w:p>
        </w:tc>
        <w:tc>
          <w:tcPr>
            <w:tcW w:w="712" w:type="dxa"/>
            <w:vMerge w:val="continue"/>
            <w:tcBorders>
              <w:top w:val="nil"/>
              <w:left w:val="nil"/>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3"/>
                <w:szCs w:val="13"/>
              </w:rPr>
            </w:pPr>
          </w:p>
        </w:tc>
        <w:tc>
          <w:tcPr>
            <w:tcW w:w="650" w:type="dxa"/>
            <w:vMerge w:val="continue"/>
            <w:tcBorders>
              <w:top w:val="nil"/>
              <w:left w:val="nil"/>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3"/>
                <w:szCs w:val="13"/>
              </w:rPr>
            </w:pPr>
          </w:p>
        </w:tc>
        <w:tc>
          <w:tcPr>
            <w:tcW w:w="688" w:type="dxa"/>
            <w:vMerge w:val="continue"/>
            <w:tcBorders>
              <w:top w:val="nil"/>
              <w:left w:val="nil"/>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3"/>
                <w:szCs w:val="13"/>
              </w:rPr>
            </w:pPr>
          </w:p>
        </w:tc>
        <w:tc>
          <w:tcPr>
            <w:tcW w:w="650" w:type="dxa"/>
            <w:vMerge w:val="continue"/>
            <w:tcBorders>
              <w:top w:val="nil"/>
              <w:left w:val="nil"/>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3"/>
                <w:szCs w:val="13"/>
              </w:rPr>
            </w:pPr>
          </w:p>
        </w:tc>
        <w:tc>
          <w:tcPr>
            <w:tcW w:w="662" w:type="dxa"/>
            <w:vMerge w:val="continue"/>
            <w:tcBorders>
              <w:top w:val="nil"/>
              <w:left w:val="nil"/>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3"/>
                <w:szCs w:val="13"/>
              </w:rPr>
            </w:pPr>
          </w:p>
        </w:tc>
        <w:tc>
          <w:tcPr>
            <w:tcW w:w="613" w:type="dxa"/>
            <w:gridSpan w:val="2"/>
            <w:vMerge w:val="continue"/>
            <w:tcBorders>
              <w:top w:val="nil"/>
              <w:left w:val="nil"/>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3"/>
                <w:szCs w:val="13"/>
              </w:rPr>
            </w:pPr>
          </w:p>
        </w:tc>
        <w:tc>
          <w:tcPr>
            <w:tcW w:w="625" w:type="dxa"/>
            <w:vMerge w:val="continue"/>
            <w:tcBorders>
              <w:top w:val="nil"/>
              <w:left w:val="nil"/>
              <w:bottom w:val="single" w:color="000000" w:sz="4" w:space="0"/>
              <w:right w:val="single" w:color="000000" w:sz="4" w:space="0"/>
            </w:tcBorders>
            <w:shd w:val="clear" w:color="auto" w:fill="auto"/>
            <w:vAlign w:val="center"/>
          </w:tcPr>
          <w:p>
            <w:pPr>
              <w:jc w:val="center"/>
              <w:rPr>
                <w:rFonts w:asciiTheme="minorEastAsia" w:hAnsiTheme="minorEastAsia" w:cstheme="minorEastAsia"/>
                <w:color w:val="000000"/>
                <w:sz w:val="13"/>
                <w:szCs w:val="13"/>
              </w:rPr>
            </w:pPr>
          </w:p>
        </w:tc>
        <w:tc>
          <w:tcPr>
            <w:tcW w:w="700"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小计</w:t>
            </w:r>
          </w:p>
        </w:tc>
        <w:tc>
          <w:tcPr>
            <w:tcW w:w="7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一般公共预算</w:t>
            </w:r>
          </w:p>
        </w:tc>
        <w:tc>
          <w:tcPr>
            <w:tcW w:w="68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政府性基金预算</w:t>
            </w:r>
          </w:p>
        </w:tc>
        <w:tc>
          <w:tcPr>
            <w:tcW w:w="712"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国有资本经营预算</w:t>
            </w:r>
          </w:p>
        </w:tc>
        <w:tc>
          <w:tcPr>
            <w:tcW w:w="63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小计</w:t>
            </w:r>
          </w:p>
        </w:tc>
        <w:tc>
          <w:tcPr>
            <w:tcW w:w="63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财政专户管理资金</w:t>
            </w:r>
          </w:p>
        </w:tc>
        <w:tc>
          <w:tcPr>
            <w:tcW w:w="63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13"/>
                <w:szCs w:val="13"/>
              </w:rPr>
            </w:pPr>
            <w:r>
              <w:rPr>
                <w:rFonts w:hint="eastAsia" w:asciiTheme="minorEastAsia" w:hAnsiTheme="minorEastAsia" w:cstheme="minorEastAsia"/>
                <w:color w:val="000000"/>
                <w:sz w:val="13"/>
                <w:szCs w:val="13"/>
              </w:rPr>
              <w:t>单位资金</w:t>
            </w:r>
          </w:p>
        </w:tc>
      </w:tr>
      <w:tr>
        <w:tblPrEx>
          <w:tblCellMar>
            <w:top w:w="0" w:type="dxa"/>
            <w:left w:w="108" w:type="dxa"/>
            <w:bottom w:w="0" w:type="dxa"/>
            <w:right w:w="108" w:type="dxa"/>
          </w:tblCellMar>
        </w:tblPrEx>
        <w:trPr>
          <w:trHeight w:val="936" w:hRule="atLeast"/>
        </w:trPr>
        <w:tc>
          <w:tcPr>
            <w:tcW w:w="1577" w:type="dxa"/>
            <w:gridSpan w:val="2"/>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11"/>
                <w:szCs w:val="11"/>
              </w:rPr>
            </w:pPr>
            <w:r>
              <w:rPr>
                <w:rFonts w:hint="eastAsia" w:asciiTheme="minorEastAsia" w:hAnsiTheme="minorEastAsia" w:cstheme="minorEastAsia"/>
                <w:color w:val="000000"/>
                <w:sz w:val="11"/>
                <w:szCs w:val="11"/>
              </w:rPr>
              <w:t>合计</w:t>
            </w:r>
          </w:p>
        </w:tc>
        <w:tc>
          <w:tcPr>
            <w:tcW w:w="5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11"/>
                <w:szCs w:val="11"/>
              </w:rPr>
            </w:pPr>
            <w:r>
              <w:rPr>
                <w:rFonts w:hint="eastAsia" w:asciiTheme="minorEastAsia" w:hAnsiTheme="minorEastAsia" w:cstheme="minorEastAsia"/>
                <w:color w:val="000000"/>
                <w:sz w:val="11"/>
                <w:szCs w:val="11"/>
              </w:rPr>
              <w:t>43,529,130.07</w:t>
            </w:r>
          </w:p>
        </w:tc>
        <w:tc>
          <w:tcPr>
            <w:tcW w:w="61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11"/>
                <w:szCs w:val="11"/>
              </w:rPr>
            </w:pPr>
            <w:r>
              <w:rPr>
                <w:rFonts w:hint="eastAsia" w:asciiTheme="minorEastAsia" w:hAnsiTheme="minorEastAsia" w:cstheme="minorEastAsia"/>
                <w:color w:val="000000"/>
                <w:sz w:val="11"/>
                <w:szCs w:val="11"/>
              </w:rPr>
              <w:t>43,529,130.07</w:t>
            </w:r>
          </w:p>
        </w:tc>
        <w:tc>
          <w:tcPr>
            <w:tcW w:w="6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11"/>
                <w:szCs w:val="11"/>
              </w:rPr>
            </w:pPr>
            <w:r>
              <w:rPr>
                <w:rFonts w:hint="eastAsia" w:asciiTheme="minorEastAsia" w:hAnsiTheme="minorEastAsia" w:cstheme="minorEastAsia"/>
                <w:color w:val="000000"/>
                <w:sz w:val="11"/>
                <w:szCs w:val="11"/>
              </w:rPr>
              <w:t>43,529,130.07</w:t>
            </w:r>
          </w:p>
        </w:tc>
        <w:tc>
          <w:tcPr>
            <w:tcW w:w="61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11"/>
                <w:szCs w:val="11"/>
              </w:rPr>
            </w:pPr>
          </w:p>
        </w:tc>
        <w:tc>
          <w:tcPr>
            <w:tcW w:w="66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11"/>
                <w:szCs w:val="11"/>
              </w:rPr>
            </w:pPr>
          </w:p>
        </w:tc>
        <w:tc>
          <w:tcPr>
            <w:tcW w:w="71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11"/>
                <w:szCs w:val="11"/>
              </w:rPr>
            </w:pPr>
          </w:p>
        </w:tc>
        <w:tc>
          <w:tcPr>
            <w:tcW w:w="6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11"/>
                <w:szCs w:val="11"/>
              </w:rPr>
            </w:pPr>
          </w:p>
        </w:tc>
        <w:tc>
          <w:tcPr>
            <w:tcW w:w="68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11"/>
                <w:szCs w:val="11"/>
              </w:rPr>
            </w:pPr>
          </w:p>
        </w:tc>
        <w:tc>
          <w:tcPr>
            <w:tcW w:w="6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11"/>
                <w:szCs w:val="11"/>
              </w:rPr>
            </w:pPr>
          </w:p>
        </w:tc>
        <w:tc>
          <w:tcPr>
            <w:tcW w:w="66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11"/>
                <w:szCs w:val="11"/>
              </w:rPr>
            </w:pPr>
          </w:p>
        </w:tc>
        <w:tc>
          <w:tcPr>
            <w:tcW w:w="613" w:type="dxa"/>
            <w:gridSpan w:val="2"/>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11"/>
                <w:szCs w:val="11"/>
              </w:rPr>
            </w:pPr>
          </w:p>
        </w:tc>
        <w:tc>
          <w:tcPr>
            <w:tcW w:w="625"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11"/>
                <w:szCs w:val="11"/>
              </w:rPr>
            </w:pPr>
          </w:p>
        </w:tc>
        <w:tc>
          <w:tcPr>
            <w:tcW w:w="7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11"/>
                <w:szCs w:val="11"/>
              </w:rPr>
            </w:pPr>
          </w:p>
        </w:tc>
        <w:tc>
          <w:tcPr>
            <w:tcW w:w="71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11"/>
                <w:szCs w:val="11"/>
              </w:rPr>
            </w:pPr>
          </w:p>
        </w:tc>
        <w:tc>
          <w:tcPr>
            <w:tcW w:w="68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11"/>
                <w:szCs w:val="11"/>
              </w:rPr>
            </w:pPr>
          </w:p>
        </w:tc>
        <w:tc>
          <w:tcPr>
            <w:tcW w:w="71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11"/>
                <w:szCs w:val="11"/>
              </w:rPr>
            </w:pPr>
          </w:p>
        </w:tc>
        <w:tc>
          <w:tcPr>
            <w:tcW w:w="63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11"/>
                <w:szCs w:val="11"/>
              </w:rPr>
            </w:pPr>
          </w:p>
        </w:tc>
        <w:tc>
          <w:tcPr>
            <w:tcW w:w="638"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11"/>
                <w:szCs w:val="11"/>
              </w:rPr>
            </w:pPr>
          </w:p>
        </w:tc>
        <w:tc>
          <w:tcPr>
            <w:tcW w:w="639"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11"/>
                <w:szCs w:val="11"/>
              </w:rPr>
            </w:pPr>
          </w:p>
        </w:tc>
      </w:tr>
      <w:tr>
        <w:tblPrEx>
          <w:tblCellMar>
            <w:top w:w="0" w:type="dxa"/>
            <w:left w:w="108" w:type="dxa"/>
            <w:bottom w:w="0" w:type="dxa"/>
            <w:right w:w="108" w:type="dxa"/>
          </w:tblCellMar>
        </w:tblPrEx>
        <w:trPr>
          <w:trHeight w:val="860"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1"/>
                <w:szCs w:val="11"/>
              </w:rPr>
            </w:pPr>
            <w:r>
              <w:rPr>
                <w:rFonts w:hint="eastAsia" w:asciiTheme="minorEastAsia" w:hAnsiTheme="minorEastAsia" w:cstheme="minorEastAsia"/>
                <w:color w:val="000000"/>
                <w:sz w:val="11"/>
                <w:szCs w:val="11"/>
              </w:rPr>
              <w:t>502101</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1"/>
                <w:szCs w:val="11"/>
              </w:rPr>
            </w:pPr>
            <w:r>
              <w:rPr>
                <w:rFonts w:hint="eastAsia" w:asciiTheme="minorEastAsia" w:hAnsiTheme="minorEastAsia" w:cstheme="minorEastAsia"/>
                <w:color w:val="000000"/>
                <w:sz w:val="11"/>
                <w:szCs w:val="11"/>
              </w:rPr>
              <w:t>中国共产党天津市南开区纪律检查委员会（本级）</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1"/>
                <w:szCs w:val="11"/>
              </w:rPr>
            </w:pPr>
            <w:r>
              <w:rPr>
                <w:rFonts w:hint="eastAsia" w:asciiTheme="minorEastAsia" w:hAnsiTheme="minorEastAsia" w:cstheme="minorEastAsia"/>
                <w:color w:val="000000"/>
                <w:sz w:val="11"/>
                <w:szCs w:val="11"/>
              </w:rPr>
              <w:t>43,529,130.07</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1"/>
                <w:szCs w:val="11"/>
              </w:rPr>
            </w:pPr>
            <w:r>
              <w:rPr>
                <w:rFonts w:hint="eastAsia" w:asciiTheme="minorEastAsia" w:hAnsiTheme="minorEastAsia" w:cstheme="minorEastAsia"/>
                <w:color w:val="000000"/>
                <w:sz w:val="11"/>
                <w:szCs w:val="11"/>
              </w:rPr>
              <w:t>43,529,130.07</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1"/>
                <w:szCs w:val="11"/>
              </w:rPr>
            </w:pPr>
            <w:r>
              <w:rPr>
                <w:rFonts w:hint="eastAsia" w:asciiTheme="minorEastAsia" w:hAnsiTheme="minorEastAsia" w:cstheme="minorEastAsia"/>
                <w:color w:val="000000"/>
                <w:sz w:val="11"/>
                <w:szCs w:val="11"/>
              </w:rPr>
              <w:t>43,529,130.07</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1"/>
                <w:szCs w:val="11"/>
              </w:rPr>
            </w:pP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1"/>
                <w:szCs w:val="11"/>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1"/>
                <w:szCs w:val="11"/>
              </w:rPr>
            </w:pP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1"/>
                <w:szCs w:val="11"/>
              </w:rPr>
            </w:pP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1"/>
                <w:szCs w:val="11"/>
              </w:rPr>
            </w:pP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1"/>
                <w:szCs w:val="11"/>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1"/>
                <w:szCs w:val="11"/>
              </w:rPr>
            </w:pP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1"/>
                <w:szCs w:val="11"/>
              </w:rPr>
            </w:pP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1"/>
                <w:szCs w:val="11"/>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1"/>
                <w:szCs w:val="11"/>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1"/>
                <w:szCs w:val="11"/>
              </w:rPr>
            </w:pP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1"/>
                <w:szCs w:val="11"/>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1"/>
                <w:szCs w:val="11"/>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1"/>
                <w:szCs w:val="11"/>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1"/>
                <w:szCs w:val="11"/>
              </w:rPr>
            </w:pP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11"/>
                <w:szCs w:val="11"/>
              </w:rPr>
            </w:pPr>
          </w:p>
        </w:tc>
      </w:tr>
      <w:tr>
        <w:tblPrEx>
          <w:tblCellMar>
            <w:top w:w="0" w:type="dxa"/>
            <w:left w:w="108" w:type="dxa"/>
            <w:bottom w:w="0" w:type="dxa"/>
            <w:right w:w="108" w:type="dxa"/>
          </w:tblCellMar>
        </w:tblPrEx>
        <w:trPr>
          <w:trHeight w:val="308" w:hRule="atLeast"/>
        </w:trPr>
        <w:tc>
          <w:tcPr>
            <w:tcW w:w="13992" w:type="dxa"/>
            <w:gridSpan w:val="22"/>
            <w:tcBorders>
              <w:top w:val="nil"/>
              <w:left w:val="nil"/>
              <w:bottom w:val="nil"/>
              <w:right w:val="nil"/>
            </w:tcBorders>
            <w:shd w:val="clear" w:color="auto" w:fill="auto"/>
            <w:noWrap/>
            <w:vAlign w:val="center"/>
          </w:tcPr>
          <w:p>
            <w:pPr>
              <w:widowControl/>
              <w:textAlignment w:val="center"/>
              <w:rPr>
                <w:rFonts w:asciiTheme="minorEastAsia" w:hAnsiTheme="minorEastAsia" w:cstheme="minorEastAsia"/>
                <w:color w:val="000000"/>
                <w:sz w:val="18"/>
                <w:szCs w:val="18"/>
              </w:rPr>
            </w:pPr>
            <w:r>
              <w:rPr>
                <w:rFonts w:hint="eastAsia" w:asciiTheme="minorEastAsia" w:hAnsiTheme="minorEastAsia" w:cstheme="minorEastAsia"/>
                <w:color w:val="000000"/>
                <w:sz w:val="18"/>
                <w:szCs w:val="18"/>
              </w:rPr>
              <w:t>注：本表反映本年度取得的各项收入情况。财政专户管理资金是指教育收费；事业收入不含教育收费。</w:t>
            </w:r>
          </w:p>
        </w:tc>
      </w:tr>
    </w:tbl>
    <w:p>
      <w:pPr>
        <w:rPr>
          <w:rFonts w:asciiTheme="minorEastAsia" w:hAnsiTheme="minorEastAsia" w:cstheme="minorEastAsia"/>
          <w:sz w:val="22"/>
          <w:szCs w:val="22"/>
        </w:rPr>
      </w:pPr>
      <w:r>
        <w:rPr>
          <w:rFonts w:hint="eastAsia" w:asciiTheme="minorEastAsia" w:hAnsiTheme="minorEastAsia" w:cstheme="minorEastAsia"/>
          <w:sz w:val="22"/>
          <w:szCs w:val="22"/>
        </w:rPr>
        <w:br w:type="page"/>
      </w:r>
    </w:p>
    <w:p>
      <w:pPr>
        <w:pStyle w:val="28"/>
        <w:widowControl/>
        <w:jc w:val="both"/>
        <w:rPr>
          <w:rFonts w:ascii="仿宋" w:hAnsi="仿宋" w:eastAsia="仿宋" w:cs="仿宋"/>
          <w:b/>
          <w:bCs/>
        </w:rPr>
      </w:pPr>
      <w:r>
        <w:rPr>
          <w:rFonts w:hint="eastAsia" w:ascii="仿宋" w:hAnsi="仿宋" w:eastAsia="仿宋" w:cs="仿宋"/>
          <w:b/>
          <w:bCs/>
        </w:rPr>
        <w:t xml:space="preserve">四、支出决算表 </w:t>
      </w:r>
    </w:p>
    <w:tbl>
      <w:tblPr>
        <w:tblStyle w:val="11"/>
        <w:tblW w:w="13990" w:type="dxa"/>
        <w:tblInd w:w="0" w:type="dxa"/>
        <w:tblLayout w:type="fixed"/>
        <w:tblCellMar>
          <w:top w:w="0" w:type="dxa"/>
          <w:left w:w="108" w:type="dxa"/>
          <w:bottom w:w="0" w:type="dxa"/>
          <w:right w:w="108" w:type="dxa"/>
        </w:tblCellMar>
      </w:tblPr>
      <w:tblGrid>
        <w:gridCol w:w="1325"/>
        <w:gridCol w:w="2188"/>
        <w:gridCol w:w="1845"/>
        <w:gridCol w:w="1800"/>
        <w:gridCol w:w="1800"/>
        <w:gridCol w:w="1815"/>
        <w:gridCol w:w="1628"/>
        <w:gridCol w:w="1589"/>
      </w:tblGrid>
      <w:tr>
        <w:tblPrEx>
          <w:tblCellMar>
            <w:top w:w="0" w:type="dxa"/>
            <w:left w:w="108" w:type="dxa"/>
            <w:bottom w:w="0" w:type="dxa"/>
            <w:right w:w="108" w:type="dxa"/>
          </w:tblCellMar>
        </w:tblPrEx>
        <w:trPr>
          <w:trHeight w:val="320" w:hRule="atLeast"/>
        </w:trPr>
        <w:tc>
          <w:tcPr>
            <w:tcW w:w="12401" w:type="dxa"/>
            <w:gridSpan w:val="7"/>
            <w:tcBorders>
              <w:top w:val="nil"/>
              <w:left w:val="nil"/>
              <w:bottom w:val="nil"/>
              <w:right w:val="nil"/>
            </w:tcBorders>
            <w:shd w:val="clear" w:color="auto" w:fill="auto"/>
            <w:noWrap/>
            <w:vAlign w:val="bottom"/>
          </w:tcPr>
          <w:p>
            <w:pPr>
              <w:widowControl/>
              <w:textAlignment w:val="bottom"/>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部门（单位）：中国共产党天津市南开区纪律检查委员会（本级） </w:t>
            </w:r>
          </w:p>
        </w:tc>
        <w:tc>
          <w:tcPr>
            <w:tcW w:w="1589" w:type="dxa"/>
            <w:tcBorders>
              <w:top w:val="nil"/>
              <w:left w:val="nil"/>
              <w:bottom w:val="nil"/>
              <w:right w:val="nil"/>
            </w:tcBorders>
            <w:shd w:val="clear" w:color="auto" w:fill="auto"/>
            <w:noWrap/>
            <w:vAlign w:val="bottom"/>
          </w:tcPr>
          <w:p>
            <w:pPr>
              <w:widowControl/>
              <w:textAlignment w:val="bottom"/>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单位：元</w:t>
            </w:r>
          </w:p>
        </w:tc>
      </w:tr>
      <w:tr>
        <w:tblPrEx>
          <w:tblCellMar>
            <w:top w:w="0" w:type="dxa"/>
            <w:left w:w="108" w:type="dxa"/>
            <w:bottom w:w="0" w:type="dxa"/>
            <w:right w:w="108" w:type="dxa"/>
          </w:tblCellMar>
        </w:tblPrEx>
        <w:trPr>
          <w:trHeight w:val="308" w:hRule="atLeast"/>
        </w:trPr>
        <w:tc>
          <w:tcPr>
            <w:tcW w:w="351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支出功能分类科目</w:t>
            </w:r>
          </w:p>
        </w:tc>
        <w:tc>
          <w:tcPr>
            <w:tcW w:w="1845"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本年支出合计</w:t>
            </w:r>
          </w:p>
        </w:tc>
        <w:tc>
          <w:tcPr>
            <w:tcW w:w="1800"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基本支出</w:t>
            </w:r>
          </w:p>
        </w:tc>
        <w:tc>
          <w:tcPr>
            <w:tcW w:w="1800"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项目支出</w:t>
            </w:r>
          </w:p>
        </w:tc>
        <w:tc>
          <w:tcPr>
            <w:tcW w:w="1815"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上缴上级支出</w:t>
            </w:r>
          </w:p>
        </w:tc>
        <w:tc>
          <w:tcPr>
            <w:tcW w:w="1628"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经营支出</w:t>
            </w:r>
          </w:p>
        </w:tc>
        <w:tc>
          <w:tcPr>
            <w:tcW w:w="1589"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对附属单位补助支出</w:t>
            </w:r>
          </w:p>
        </w:tc>
      </w:tr>
      <w:tr>
        <w:tblPrEx>
          <w:tblCellMar>
            <w:top w:w="0" w:type="dxa"/>
            <w:left w:w="108" w:type="dxa"/>
            <w:bottom w:w="0" w:type="dxa"/>
            <w:right w:w="108" w:type="dxa"/>
          </w:tblCellMar>
        </w:tblPrEx>
        <w:trPr>
          <w:trHeight w:val="308" w:hRule="atLeast"/>
        </w:trPr>
        <w:tc>
          <w:tcPr>
            <w:tcW w:w="1325" w:type="dxa"/>
            <w:tcBorders>
              <w:top w:val="nil"/>
              <w:left w:val="single" w:color="000000" w:sz="4" w:space="0"/>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科目编码</w:t>
            </w:r>
          </w:p>
        </w:tc>
        <w:tc>
          <w:tcPr>
            <w:tcW w:w="2188" w:type="dxa"/>
            <w:tcBorders>
              <w:top w:val="nil"/>
              <w:left w:val="nil"/>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科目名称</w:t>
            </w:r>
          </w:p>
        </w:tc>
        <w:tc>
          <w:tcPr>
            <w:tcW w:w="1845" w:type="dxa"/>
            <w:vMerge w:val="continue"/>
            <w:tcBorders>
              <w:top w:val="single" w:color="000000" w:sz="4" w:space="0"/>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00" w:type="dxa"/>
            <w:vMerge w:val="continue"/>
            <w:tcBorders>
              <w:top w:val="single" w:color="000000" w:sz="4" w:space="0"/>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00" w:type="dxa"/>
            <w:vMerge w:val="continue"/>
            <w:tcBorders>
              <w:top w:val="single" w:color="000000" w:sz="4" w:space="0"/>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15" w:type="dxa"/>
            <w:vMerge w:val="continue"/>
            <w:tcBorders>
              <w:top w:val="single" w:color="000000" w:sz="4" w:space="0"/>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628" w:type="dxa"/>
            <w:vMerge w:val="continue"/>
            <w:tcBorders>
              <w:top w:val="single" w:color="000000" w:sz="4" w:space="0"/>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589" w:type="dxa"/>
            <w:vMerge w:val="continue"/>
            <w:tcBorders>
              <w:top w:val="single" w:color="000000" w:sz="4" w:space="0"/>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700" w:hRule="atLeast"/>
        </w:trPr>
        <w:tc>
          <w:tcPr>
            <w:tcW w:w="351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合计</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43,529,130.07</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37,549,772.03</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5,979,358.04</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201</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一般公共服务支出</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37,908,140.94</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31,928,782.90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5,979,358.04</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20111</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纪检监察事务</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37,908,140.94</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31,928,782.90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5,979,358.04</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2011101</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行政运行</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31,928,782.90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31,928,782.90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2011102</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一般行政管理事务</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200,000.00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200,000.00</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2011199</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其他纪检监察事务支出</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5,779,358.04</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5,779,358.04</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208</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社会保障和就业支出</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3,747,321.38</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3,747,321.38</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20805</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行政事业单位养老支出</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3,747,321.38</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3,747,321.38</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2080505</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机关事业单位基本养老保险缴费支出</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2,498,236.58</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2,498,236.58</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2080506</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机关事业单位职业年金缴费支出</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1,249,084.80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1,249,084.80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210</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卫生健康支出</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1,873,667.75</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1,873,667.75</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21011</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行政事业单位医疗</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1,873,667.75</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1,873,667.75</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2101101</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行政单位医疗</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1,561,396.55</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1,561,396.55</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2101103</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公务员医疗补助</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312,271.20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312,271.20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13990" w:type="dxa"/>
            <w:gridSpan w:val="8"/>
            <w:tcBorders>
              <w:top w:val="nil"/>
              <w:left w:val="nil"/>
              <w:bottom w:val="nil"/>
              <w:right w:val="nil"/>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注：本表反映本年度各项支出情况。</w:t>
            </w:r>
          </w:p>
        </w:tc>
      </w:tr>
    </w:tbl>
    <w:p>
      <w:pPr>
        <w:rPr>
          <w:rFonts w:asciiTheme="minorEastAsia" w:hAnsiTheme="minorEastAsia" w:cstheme="minorEastAsia"/>
          <w:sz w:val="22"/>
          <w:szCs w:val="22"/>
        </w:rPr>
      </w:pPr>
      <w:r>
        <w:rPr>
          <w:rFonts w:hint="eastAsia" w:asciiTheme="minorEastAsia" w:hAnsiTheme="minorEastAsia" w:cstheme="minorEastAsia"/>
          <w:sz w:val="22"/>
          <w:szCs w:val="22"/>
        </w:rPr>
        <w:br w:type="page"/>
      </w:r>
    </w:p>
    <w:p>
      <w:pPr>
        <w:pStyle w:val="28"/>
        <w:widowControl/>
        <w:jc w:val="both"/>
        <w:rPr>
          <w:rFonts w:ascii="仿宋" w:hAnsi="仿宋" w:eastAsia="仿宋" w:cs="仿宋"/>
          <w:b/>
          <w:bCs/>
        </w:rPr>
      </w:pPr>
      <w:r>
        <w:rPr>
          <w:rFonts w:hint="eastAsia" w:ascii="仿宋" w:hAnsi="仿宋" w:eastAsia="仿宋" w:cs="仿宋"/>
          <w:b/>
          <w:bCs/>
        </w:rPr>
        <w:t>五、财政拨款收入支出决算总表</w:t>
      </w:r>
    </w:p>
    <w:tbl>
      <w:tblPr>
        <w:tblStyle w:val="11"/>
        <w:tblW w:w="13991" w:type="dxa"/>
        <w:tblInd w:w="0" w:type="dxa"/>
        <w:tblLayout w:type="fixed"/>
        <w:tblCellMar>
          <w:top w:w="0" w:type="dxa"/>
          <w:left w:w="108" w:type="dxa"/>
          <w:bottom w:w="0" w:type="dxa"/>
          <w:right w:w="108" w:type="dxa"/>
        </w:tblCellMar>
      </w:tblPr>
      <w:tblGrid>
        <w:gridCol w:w="2317"/>
        <w:gridCol w:w="1883"/>
        <w:gridCol w:w="2350"/>
        <w:gridCol w:w="1850"/>
        <w:gridCol w:w="1791"/>
        <w:gridCol w:w="1827"/>
        <w:gridCol w:w="1973"/>
      </w:tblGrid>
      <w:tr>
        <w:tblPrEx>
          <w:tblCellMar>
            <w:top w:w="0" w:type="dxa"/>
            <w:left w:w="108" w:type="dxa"/>
            <w:bottom w:w="0" w:type="dxa"/>
            <w:right w:w="108" w:type="dxa"/>
          </w:tblCellMar>
        </w:tblPrEx>
        <w:trPr>
          <w:trHeight w:val="320" w:hRule="atLeast"/>
        </w:trPr>
        <w:tc>
          <w:tcPr>
            <w:tcW w:w="12018" w:type="dxa"/>
            <w:gridSpan w:val="6"/>
            <w:tcBorders>
              <w:top w:val="nil"/>
              <w:left w:val="nil"/>
              <w:bottom w:val="nil"/>
              <w:right w:val="nil"/>
            </w:tcBorders>
            <w:shd w:val="clear" w:color="auto" w:fill="auto"/>
            <w:noWrap/>
            <w:vAlign w:val="bottom"/>
          </w:tcPr>
          <w:p>
            <w:pPr>
              <w:widowControl/>
              <w:textAlignment w:val="bottom"/>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部门（单位）：中国共产党天津市南开区纪律检查委员会（本级） </w:t>
            </w:r>
          </w:p>
        </w:tc>
        <w:tc>
          <w:tcPr>
            <w:tcW w:w="1973" w:type="dxa"/>
            <w:tcBorders>
              <w:top w:val="nil"/>
              <w:left w:val="nil"/>
              <w:bottom w:val="nil"/>
              <w:right w:val="nil"/>
            </w:tcBorders>
            <w:shd w:val="clear" w:color="auto" w:fill="auto"/>
            <w:noWrap/>
            <w:vAlign w:val="bottom"/>
          </w:tcPr>
          <w:p>
            <w:pPr>
              <w:widowControl/>
              <w:textAlignment w:val="bottom"/>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单位：元</w:t>
            </w:r>
          </w:p>
        </w:tc>
      </w:tr>
      <w:tr>
        <w:tblPrEx>
          <w:tblCellMar>
            <w:top w:w="0" w:type="dxa"/>
            <w:left w:w="108" w:type="dxa"/>
            <w:bottom w:w="0" w:type="dxa"/>
            <w:right w:w="108" w:type="dxa"/>
          </w:tblCellMar>
        </w:tblPrEx>
        <w:trPr>
          <w:trHeight w:val="308" w:hRule="atLeast"/>
        </w:trPr>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收入</w:t>
            </w:r>
          </w:p>
        </w:tc>
        <w:tc>
          <w:tcPr>
            <w:tcW w:w="9791" w:type="dxa"/>
            <w:gridSpan w:val="5"/>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支出</w:t>
            </w: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项    目</w:t>
            </w:r>
          </w:p>
        </w:tc>
        <w:tc>
          <w:tcPr>
            <w:tcW w:w="188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金额</w:t>
            </w:r>
          </w:p>
        </w:tc>
        <w:tc>
          <w:tcPr>
            <w:tcW w:w="23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项    目</w:t>
            </w:r>
          </w:p>
        </w:tc>
        <w:tc>
          <w:tcPr>
            <w:tcW w:w="18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合计</w:t>
            </w:r>
          </w:p>
        </w:tc>
        <w:tc>
          <w:tcPr>
            <w:tcW w:w="1791"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一般公共预算财政拨款</w:t>
            </w:r>
          </w:p>
        </w:tc>
        <w:tc>
          <w:tcPr>
            <w:tcW w:w="1827"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政府性基金预算财政拨款</w:t>
            </w:r>
          </w:p>
        </w:tc>
        <w:tc>
          <w:tcPr>
            <w:tcW w:w="19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国有资本经营预算财政拨款</w:t>
            </w: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一、一般公共预算财政拨款</w:t>
            </w:r>
          </w:p>
        </w:tc>
        <w:tc>
          <w:tcPr>
            <w:tcW w:w="188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43,529,130.07</w:t>
            </w:r>
          </w:p>
        </w:tc>
        <w:tc>
          <w:tcPr>
            <w:tcW w:w="23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一、一般公共服务支出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37,908,140.94</w:t>
            </w:r>
          </w:p>
        </w:tc>
        <w:tc>
          <w:tcPr>
            <w:tcW w:w="1791"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37,908,140.94</w:t>
            </w:r>
          </w:p>
        </w:tc>
        <w:tc>
          <w:tcPr>
            <w:tcW w:w="182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二、政府性基金预算财政拨款</w:t>
            </w:r>
          </w:p>
        </w:tc>
        <w:tc>
          <w:tcPr>
            <w:tcW w:w="188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23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二、公共安全支出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82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三、国有资本经营预算财政拨款</w:t>
            </w:r>
          </w:p>
        </w:tc>
        <w:tc>
          <w:tcPr>
            <w:tcW w:w="188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23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三、教育支出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82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23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四、科学技术支出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82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23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五、文化旅游体育与传媒支出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82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23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六、社会保障和就业支出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3,747,321.38</w:t>
            </w:r>
          </w:p>
        </w:tc>
        <w:tc>
          <w:tcPr>
            <w:tcW w:w="1791"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3,747,321.38</w:t>
            </w:r>
          </w:p>
        </w:tc>
        <w:tc>
          <w:tcPr>
            <w:tcW w:w="182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23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七、卫生健康支出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1,873,667.75</w:t>
            </w:r>
          </w:p>
        </w:tc>
        <w:tc>
          <w:tcPr>
            <w:tcW w:w="1791"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1,873,667.75</w:t>
            </w:r>
          </w:p>
        </w:tc>
        <w:tc>
          <w:tcPr>
            <w:tcW w:w="182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23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八、节能环保支出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82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23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九、城乡社区支出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82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23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十、农林水支出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82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23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十一、交通运输支出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82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23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十二、资源勘探工业信息等支出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82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23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十三、商业服务业等支出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82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23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十四、金融支出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82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23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十五、援助其他地区支出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82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23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十六、自然资源海洋气象等支出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82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23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十七、住房保障支出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82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23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十八、粮油物资储备支出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82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23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十九、国有资本经营预算支出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82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23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二十、灾害防治及应急管理支出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82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23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二十一、其他支出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82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23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二十二、债务付息支出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82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83"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23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二十三、抗疫特别国债安排的支出</w:t>
            </w:r>
          </w:p>
        </w:tc>
        <w:tc>
          <w:tcPr>
            <w:tcW w:w="18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82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本年收入合计</w:t>
            </w:r>
          </w:p>
        </w:tc>
        <w:tc>
          <w:tcPr>
            <w:tcW w:w="188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43,529,130.07</w:t>
            </w:r>
          </w:p>
        </w:tc>
        <w:tc>
          <w:tcPr>
            <w:tcW w:w="23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本年支出合计</w:t>
            </w:r>
          </w:p>
        </w:tc>
        <w:tc>
          <w:tcPr>
            <w:tcW w:w="18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43,529,130.07</w:t>
            </w:r>
          </w:p>
        </w:tc>
        <w:tc>
          <w:tcPr>
            <w:tcW w:w="1791"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43,529,130.07</w:t>
            </w:r>
          </w:p>
        </w:tc>
        <w:tc>
          <w:tcPr>
            <w:tcW w:w="182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年初财政拨款结转和结余</w:t>
            </w:r>
          </w:p>
        </w:tc>
        <w:tc>
          <w:tcPr>
            <w:tcW w:w="188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23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年末财政拨款结转和结余</w:t>
            </w:r>
          </w:p>
        </w:tc>
        <w:tc>
          <w:tcPr>
            <w:tcW w:w="18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82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一般公共预算财政拨款</w:t>
            </w:r>
          </w:p>
        </w:tc>
        <w:tc>
          <w:tcPr>
            <w:tcW w:w="188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2350"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50"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27"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政府性基金预算财政拨款</w:t>
            </w:r>
          </w:p>
        </w:tc>
        <w:tc>
          <w:tcPr>
            <w:tcW w:w="188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2350"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50"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27"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国有资本经营预算财政拨款</w:t>
            </w:r>
          </w:p>
        </w:tc>
        <w:tc>
          <w:tcPr>
            <w:tcW w:w="188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2350"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50"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791"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27"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合计</w:t>
            </w:r>
          </w:p>
        </w:tc>
        <w:tc>
          <w:tcPr>
            <w:tcW w:w="188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43,529,130.07</w:t>
            </w:r>
          </w:p>
        </w:tc>
        <w:tc>
          <w:tcPr>
            <w:tcW w:w="235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合计</w:t>
            </w:r>
          </w:p>
        </w:tc>
        <w:tc>
          <w:tcPr>
            <w:tcW w:w="185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43,529,130.07</w:t>
            </w:r>
          </w:p>
        </w:tc>
        <w:tc>
          <w:tcPr>
            <w:tcW w:w="1791"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43,529,130.07</w:t>
            </w:r>
          </w:p>
        </w:tc>
        <w:tc>
          <w:tcPr>
            <w:tcW w:w="182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973"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462" w:hRule="atLeast"/>
        </w:trPr>
        <w:tc>
          <w:tcPr>
            <w:tcW w:w="13991" w:type="dxa"/>
            <w:gridSpan w:val="7"/>
            <w:tcBorders>
              <w:top w:val="nil"/>
              <w:left w:val="nil"/>
              <w:bottom w:val="nil"/>
              <w:right w:val="nil"/>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注：本表反映本年度一般公共预算财政拨款、政府性基金预算财政拨款和国有资本经营预算财政拨款的总收支和年末结转结余情况。</w:t>
            </w:r>
          </w:p>
        </w:tc>
      </w:tr>
    </w:tbl>
    <w:p>
      <w:pPr>
        <w:rPr>
          <w:rFonts w:asciiTheme="minorEastAsia" w:hAnsiTheme="minorEastAsia" w:cstheme="minorEastAsia"/>
          <w:sz w:val="22"/>
          <w:szCs w:val="22"/>
        </w:rPr>
      </w:pPr>
      <w:r>
        <w:rPr>
          <w:rFonts w:hint="eastAsia" w:asciiTheme="minorEastAsia" w:hAnsiTheme="minorEastAsia" w:cstheme="minorEastAsia"/>
          <w:sz w:val="22"/>
          <w:szCs w:val="22"/>
        </w:rPr>
        <w:br w:type="page"/>
      </w:r>
    </w:p>
    <w:p>
      <w:pPr>
        <w:pStyle w:val="28"/>
        <w:widowControl/>
        <w:numPr>
          <w:ilvl w:val="0"/>
          <w:numId w:val="2"/>
        </w:numPr>
        <w:jc w:val="both"/>
        <w:rPr>
          <w:rFonts w:ascii="仿宋" w:hAnsi="仿宋" w:eastAsia="仿宋" w:cs="仿宋"/>
          <w:b/>
          <w:bCs/>
        </w:rPr>
      </w:pPr>
      <w:r>
        <w:rPr>
          <w:rFonts w:hint="eastAsia" w:ascii="仿宋" w:hAnsi="仿宋" w:eastAsia="仿宋" w:cs="仿宋"/>
          <w:b/>
          <w:bCs/>
        </w:rPr>
        <w:t xml:space="preserve">一般公共预算财政拨款支出决算表 </w:t>
      </w:r>
    </w:p>
    <w:tbl>
      <w:tblPr>
        <w:tblStyle w:val="11"/>
        <w:tblW w:w="13992" w:type="dxa"/>
        <w:tblInd w:w="0" w:type="dxa"/>
        <w:tblLayout w:type="fixed"/>
        <w:tblCellMar>
          <w:top w:w="0" w:type="dxa"/>
          <w:left w:w="108" w:type="dxa"/>
          <w:bottom w:w="0" w:type="dxa"/>
          <w:right w:w="108" w:type="dxa"/>
        </w:tblCellMar>
      </w:tblPr>
      <w:tblGrid>
        <w:gridCol w:w="1319"/>
        <w:gridCol w:w="4092"/>
        <w:gridCol w:w="1800"/>
        <w:gridCol w:w="1662"/>
        <w:gridCol w:w="1738"/>
        <w:gridCol w:w="1708"/>
        <w:gridCol w:w="1673"/>
      </w:tblGrid>
      <w:tr>
        <w:tblPrEx>
          <w:tblCellMar>
            <w:top w:w="0" w:type="dxa"/>
            <w:left w:w="108" w:type="dxa"/>
            <w:bottom w:w="0" w:type="dxa"/>
            <w:right w:w="108" w:type="dxa"/>
          </w:tblCellMar>
        </w:tblPrEx>
        <w:trPr>
          <w:trHeight w:val="320" w:hRule="atLeast"/>
        </w:trPr>
        <w:tc>
          <w:tcPr>
            <w:tcW w:w="12319" w:type="dxa"/>
            <w:gridSpan w:val="6"/>
            <w:tcBorders>
              <w:top w:val="nil"/>
              <w:left w:val="nil"/>
              <w:bottom w:val="nil"/>
              <w:right w:val="nil"/>
            </w:tcBorders>
            <w:shd w:val="clear" w:color="auto" w:fill="auto"/>
            <w:noWrap/>
            <w:vAlign w:val="bottom"/>
          </w:tcPr>
          <w:p>
            <w:pPr>
              <w:widowControl/>
              <w:textAlignment w:val="bottom"/>
              <w:rPr>
                <w:rFonts w:ascii="宋体-简" w:hAnsi="宋体-简" w:eastAsia="宋体-简" w:cs="宋体-简"/>
                <w:color w:val="000000"/>
                <w:sz w:val="20"/>
                <w:szCs w:val="20"/>
              </w:rPr>
            </w:pPr>
            <w:r>
              <w:rPr>
                <w:rFonts w:hint="eastAsia" w:ascii="宋体-简" w:hAnsi="宋体-简" w:eastAsia="宋体-简" w:cs="宋体-简"/>
                <w:color w:val="000000"/>
                <w:sz w:val="20"/>
                <w:szCs w:val="20"/>
              </w:rPr>
              <w:t>部门（单位）：</w:t>
            </w:r>
            <w:r>
              <w:rPr>
                <w:rFonts w:ascii="Arial" w:hAnsi="Arial" w:eastAsia="宋体-简" w:cs="Arial"/>
                <w:color w:val="000000"/>
                <w:sz w:val="20"/>
                <w:szCs w:val="20"/>
              </w:rPr>
              <w:t xml:space="preserve">中国共产党天津市南开区纪律检查委员会（本级） </w:t>
            </w:r>
          </w:p>
        </w:tc>
        <w:tc>
          <w:tcPr>
            <w:tcW w:w="1673" w:type="dxa"/>
            <w:tcBorders>
              <w:top w:val="nil"/>
              <w:left w:val="nil"/>
              <w:bottom w:val="nil"/>
              <w:right w:val="nil"/>
            </w:tcBorders>
            <w:shd w:val="clear" w:color="auto" w:fill="auto"/>
            <w:noWrap/>
            <w:vAlign w:val="bottom"/>
          </w:tcPr>
          <w:p>
            <w:pPr>
              <w:widowControl/>
              <w:textAlignment w:val="bottom"/>
              <w:rPr>
                <w:rFonts w:ascii="宋体" w:hAnsi="宋体" w:eastAsia="宋体"/>
                <w:color w:val="000000"/>
                <w:sz w:val="20"/>
                <w:szCs w:val="20"/>
              </w:rPr>
            </w:pPr>
            <w:r>
              <w:rPr>
                <w:rFonts w:hint="eastAsia" w:ascii="宋体" w:hAnsi="宋体" w:eastAsia="宋体"/>
                <w:color w:val="000000"/>
                <w:sz w:val="20"/>
                <w:szCs w:val="20"/>
              </w:rPr>
              <w:t>单位：元</w:t>
            </w:r>
          </w:p>
        </w:tc>
      </w:tr>
      <w:tr>
        <w:tblPrEx>
          <w:tblCellMar>
            <w:top w:w="0" w:type="dxa"/>
            <w:left w:w="108" w:type="dxa"/>
            <w:bottom w:w="0" w:type="dxa"/>
            <w:right w:w="108" w:type="dxa"/>
          </w:tblCellMar>
        </w:tblPrEx>
        <w:trPr>
          <w:trHeight w:val="308" w:hRule="atLeast"/>
        </w:trPr>
        <w:tc>
          <w:tcPr>
            <w:tcW w:w="541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支出功能分类科目</w:t>
            </w:r>
          </w:p>
        </w:tc>
        <w:tc>
          <w:tcPr>
            <w:tcW w:w="1800"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合计</w:t>
            </w:r>
          </w:p>
        </w:tc>
        <w:tc>
          <w:tcPr>
            <w:tcW w:w="5108" w:type="dxa"/>
            <w:gridSpan w:val="3"/>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基本支出</w:t>
            </w:r>
          </w:p>
        </w:tc>
        <w:tc>
          <w:tcPr>
            <w:tcW w:w="1673"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项目支出</w:t>
            </w:r>
          </w:p>
        </w:tc>
      </w:tr>
      <w:tr>
        <w:tblPrEx>
          <w:tblCellMar>
            <w:top w:w="0" w:type="dxa"/>
            <w:left w:w="108" w:type="dxa"/>
            <w:bottom w:w="0" w:type="dxa"/>
            <w:right w:w="108" w:type="dxa"/>
          </w:tblCellMar>
        </w:tblPrEx>
        <w:trPr>
          <w:trHeight w:val="308" w:hRule="atLeast"/>
        </w:trPr>
        <w:tc>
          <w:tcPr>
            <w:tcW w:w="1319" w:type="dxa"/>
            <w:tcBorders>
              <w:top w:val="nil"/>
              <w:left w:val="single" w:color="000000" w:sz="4" w:space="0"/>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科目编码</w:t>
            </w:r>
          </w:p>
        </w:tc>
        <w:tc>
          <w:tcPr>
            <w:tcW w:w="4092" w:type="dxa"/>
            <w:tcBorders>
              <w:top w:val="nil"/>
              <w:left w:val="nil"/>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科目名称</w:t>
            </w:r>
          </w:p>
        </w:tc>
        <w:tc>
          <w:tcPr>
            <w:tcW w:w="1800"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asciiTheme="minorEastAsia" w:hAnsiTheme="minorEastAsia" w:cstheme="minorEastAsia"/>
                <w:color w:val="000000"/>
                <w:sz w:val="22"/>
                <w:szCs w:val="22"/>
              </w:rPr>
            </w:pPr>
          </w:p>
        </w:tc>
        <w:tc>
          <w:tcPr>
            <w:tcW w:w="1662" w:type="dxa"/>
            <w:tcBorders>
              <w:top w:val="nil"/>
              <w:left w:val="nil"/>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小计</w:t>
            </w:r>
          </w:p>
        </w:tc>
        <w:tc>
          <w:tcPr>
            <w:tcW w:w="1738" w:type="dxa"/>
            <w:tcBorders>
              <w:top w:val="nil"/>
              <w:left w:val="nil"/>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人员经费</w:t>
            </w:r>
          </w:p>
        </w:tc>
        <w:tc>
          <w:tcPr>
            <w:tcW w:w="1708" w:type="dxa"/>
            <w:tcBorders>
              <w:top w:val="nil"/>
              <w:left w:val="nil"/>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公用经费</w:t>
            </w:r>
          </w:p>
        </w:tc>
        <w:tc>
          <w:tcPr>
            <w:tcW w:w="1673" w:type="dxa"/>
            <w:vMerge w:val="continue"/>
            <w:tcBorders>
              <w:top w:val="single" w:color="000000" w:sz="4" w:space="0"/>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680" w:hRule="atLeast"/>
        </w:trPr>
        <w:tc>
          <w:tcPr>
            <w:tcW w:w="541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合计</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43,529,130.07</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37,549,772.03</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35,457,726.55</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2,092,045.48</w:t>
            </w: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5,979,358.04</w:t>
            </w:r>
          </w:p>
        </w:tc>
      </w:tr>
      <w:tr>
        <w:tblPrEx>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201</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一般公共服务支出</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37,908,140.94</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31,928,782.90</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29,836,737.42</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2,092,045.48</w:t>
            </w: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5,979,358.04</w:t>
            </w:r>
          </w:p>
        </w:tc>
      </w:tr>
      <w:tr>
        <w:tblPrEx>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20111</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纪检监察事务</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37,908,140.94</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31,928,782.90</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29,836,737.42</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2,092,045.48</w:t>
            </w: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5,979,358.04</w:t>
            </w:r>
          </w:p>
        </w:tc>
      </w:tr>
      <w:tr>
        <w:tblPrEx>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2011101</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行政运行</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31,928,782.90</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31,928,782.90</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29,836,737.42</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2,092,045.48</w:t>
            </w: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2011102</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一般行政管理事务</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200,000.00</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200,000.00</w:t>
            </w:r>
          </w:p>
        </w:tc>
      </w:tr>
      <w:tr>
        <w:tblPrEx>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2011199</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其他纪检监察事务支出</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5,779,358.04</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5,779,358.04</w:t>
            </w:r>
          </w:p>
        </w:tc>
      </w:tr>
      <w:tr>
        <w:tblPrEx>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208</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社会保障和就业支出</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3,747,321.38</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3,747,321.38</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3,747,321.38</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20805</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行政事业单位养老支出</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3,747,321.38</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3,747,321.38</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3,747,321.38</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2080505</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机关事业单位基本养老保险缴费支出</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2,498,236.58</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2,498,236.58</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2,498,236.58</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2080506</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机关事业单位职业年金缴费支出</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1,249,084.80</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1,249,084.80</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1,249,084.80</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210</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卫生健康支出</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1,873,667.75</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1,873,667.75</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1,873,667.75</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21011</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行政事业单位医疗</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1,873,667.75</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1,873,667.75</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1,873,667.75</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2101101</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行政单位医疗</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1,561,396.55</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1,561,396.55</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1,561,396.55</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2101103</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公务员医疗补助</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312,271.20</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312,271.20</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312,271.20</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13992" w:type="dxa"/>
            <w:gridSpan w:val="7"/>
            <w:tcBorders>
              <w:top w:val="nil"/>
              <w:left w:val="nil"/>
              <w:bottom w:val="nil"/>
              <w:right w:val="nil"/>
            </w:tcBorders>
            <w:shd w:val="clear" w:color="auto" w:fill="auto"/>
            <w:noWrap/>
            <w:vAlign w:val="center"/>
          </w:tcPr>
          <w:p>
            <w:pPr>
              <w:widowControl/>
              <w:textAlignment w:val="center"/>
              <w:rPr>
                <w:rFonts w:ascii="宋体" w:hAnsi="宋体" w:eastAsia="宋体"/>
                <w:color w:val="000000"/>
                <w:sz w:val="22"/>
                <w:szCs w:val="22"/>
              </w:rPr>
            </w:pPr>
            <w:r>
              <w:rPr>
                <w:rFonts w:hint="eastAsia" w:ascii="宋体" w:hAnsi="宋体" w:eastAsia="宋体"/>
                <w:color w:val="000000"/>
                <w:sz w:val="22"/>
                <w:szCs w:val="22"/>
              </w:rPr>
              <w:t>注：本表反映本年度一般公共预算财政拨款支出情况。</w:t>
            </w:r>
          </w:p>
        </w:tc>
      </w:tr>
    </w:tbl>
    <w:p>
      <w:pPr>
        <w:rPr>
          <w:rFonts w:asciiTheme="minorEastAsia" w:hAnsiTheme="minorEastAsia" w:cstheme="minorEastAsia"/>
          <w:sz w:val="22"/>
          <w:szCs w:val="22"/>
        </w:rPr>
      </w:pPr>
      <w:r>
        <w:rPr>
          <w:rFonts w:hint="eastAsia" w:asciiTheme="minorEastAsia" w:hAnsiTheme="minorEastAsia" w:cstheme="minorEastAsia"/>
          <w:sz w:val="22"/>
          <w:szCs w:val="22"/>
        </w:rPr>
        <w:br w:type="page"/>
      </w:r>
    </w:p>
    <w:p>
      <w:pPr>
        <w:pStyle w:val="28"/>
        <w:widowControl/>
        <w:jc w:val="both"/>
        <w:rPr>
          <w:rFonts w:ascii="仿宋" w:hAnsi="仿宋" w:eastAsia="仿宋" w:cs="仿宋"/>
          <w:b/>
          <w:bCs/>
        </w:rPr>
      </w:pPr>
      <w:r>
        <w:rPr>
          <w:rFonts w:hint="eastAsia" w:ascii="仿宋" w:hAnsi="仿宋" w:eastAsia="仿宋" w:cs="仿宋"/>
          <w:b/>
          <w:bCs/>
        </w:rPr>
        <w:t xml:space="preserve">七、一般公共预算财政拨款基本支出决算明细表 </w:t>
      </w:r>
    </w:p>
    <w:tbl>
      <w:tblPr>
        <w:tblStyle w:val="11"/>
        <w:tblW w:w="13991" w:type="dxa"/>
        <w:tblInd w:w="0" w:type="dxa"/>
        <w:tblLayout w:type="fixed"/>
        <w:tblCellMar>
          <w:top w:w="0" w:type="dxa"/>
          <w:left w:w="108" w:type="dxa"/>
          <w:bottom w:w="0" w:type="dxa"/>
          <w:right w:w="108" w:type="dxa"/>
        </w:tblCellMar>
      </w:tblPr>
      <w:tblGrid>
        <w:gridCol w:w="928"/>
        <w:gridCol w:w="1869"/>
        <w:gridCol w:w="1884"/>
        <w:gridCol w:w="877"/>
        <w:gridCol w:w="1800"/>
        <w:gridCol w:w="1831"/>
        <w:gridCol w:w="1092"/>
        <w:gridCol w:w="1984"/>
        <w:gridCol w:w="1726"/>
      </w:tblGrid>
      <w:tr>
        <w:tblPrEx>
          <w:tblCellMar>
            <w:top w:w="0" w:type="dxa"/>
            <w:left w:w="108" w:type="dxa"/>
            <w:bottom w:w="0" w:type="dxa"/>
            <w:right w:w="108" w:type="dxa"/>
          </w:tblCellMar>
        </w:tblPrEx>
        <w:trPr>
          <w:trHeight w:val="320" w:hRule="atLeast"/>
        </w:trPr>
        <w:tc>
          <w:tcPr>
            <w:tcW w:w="12265" w:type="dxa"/>
            <w:gridSpan w:val="8"/>
            <w:tcBorders>
              <w:top w:val="nil"/>
              <w:left w:val="nil"/>
              <w:bottom w:val="nil"/>
              <w:right w:val="nil"/>
            </w:tcBorders>
            <w:shd w:val="clear" w:color="auto" w:fill="auto"/>
            <w:noWrap/>
            <w:vAlign w:val="bottom"/>
          </w:tcPr>
          <w:p>
            <w:pPr>
              <w:widowControl/>
              <w:textAlignment w:val="bottom"/>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部门（单位）：中国共产党天津市南开区纪律检查委员会（本级） </w:t>
            </w:r>
          </w:p>
        </w:tc>
        <w:tc>
          <w:tcPr>
            <w:tcW w:w="1726" w:type="dxa"/>
            <w:tcBorders>
              <w:top w:val="nil"/>
              <w:left w:val="nil"/>
              <w:bottom w:val="nil"/>
              <w:right w:val="nil"/>
            </w:tcBorders>
            <w:shd w:val="clear" w:color="auto" w:fill="auto"/>
            <w:noWrap/>
            <w:vAlign w:val="bottom"/>
          </w:tcPr>
          <w:p>
            <w:pPr>
              <w:widowControl/>
              <w:textAlignment w:val="bottom"/>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单位：元</w:t>
            </w:r>
          </w:p>
        </w:tc>
      </w:tr>
      <w:tr>
        <w:tblPrEx>
          <w:tblCellMar>
            <w:top w:w="0" w:type="dxa"/>
            <w:left w:w="108" w:type="dxa"/>
            <w:bottom w:w="0" w:type="dxa"/>
            <w:right w:w="108" w:type="dxa"/>
          </w:tblCellMar>
        </w:tblPrEx>
        <w:trPr>
          <w:trHeight w:val="308" w:hRule="atLeast"/>
        </w:trPr>
        <w:tc>
          <w:tcPr>
            <w:tcW w:w="468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人员经费</w:t>
            </w:r>
          </w:p>
        </w:tc>
        <w:tc>
          <w:tcPr>
            <w:tcW w:w="9310" w:type="dxa"/>
            <w:gridSpan w:val="6"/>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公用经费</w:t>
            </w: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科目编码</w:t>
            </w:r>
          </w:p>
        </w:tc>
        <w:tc>
          <w:tcPr>
            <w:tcW w:w="1869"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科目名称</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金额</w:t>
            </w:r>
          </w:p>
        </w:tc>
        <w:tc>
          <w:tcPr>
            <w:tcW w:w="877"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科目编码</w:t>
            </w:r>
          </w:p>
        </w:tc>
        <w:tc>
          <w:tcPr>
            <w:tcW w:w="1800"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科目名称</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金额</w:t>
            </w:r>
          </w:p>
        </w:tc>
        <w:tc>
          <w:tcPr>
            <w:tcW w:w="1092"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科目编码</w:t>
            </w:r>
          </w:p>
        </w:tc>
        <w:tc>
          <w:tcPr>
            <w:tcW w:w="198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科目名称</w:t>
            </w:r>
          </w:p>
        </w:tc>
        <w:tc>
          <w:tcPr>
            <w:tcW w:w="1726"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金额</w:t>
            </w: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301</w:t>
            </w:r>
          </w:p>
        </w:tc>
        <w:tc>
          <w:tcPr>
            <w:tcW w:w="1869"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工资福利支出</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35,314,756.75</w:t>
            </w: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商品和服务支出</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1,991,185.48</w:t>
            </w: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30703</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国内债务发行费用</w:t>
            </w:r>
          </w:p>
        </w:tc>
        <w:tc>
          <w:tcPr>
            <w:tcW w:w="172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30101</w:t>
            </w:r>
          </w:p>
        </w:tc>
        <w:tc>
          <w:tcPr>
            <w:tcW w:w="1869"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基本工资</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5,563,213.00</w:t>
            </w: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30201</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办公费</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339,986.64</w:t>
            </w: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30704</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国外债务发行费用</w:t>
            </w:r>
          </w:p>
        </w:tc>
        <w:tc>
          <w:tcPr>
            <w:tcW w:w="172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30102</w:t>
            </w:r>
          </w:p>
        </w:tc>
        <w:tc>
          <w:tcPr>
            <w:tcW w:w="1869"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津贴补贴</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7,730,007.00</w:t>
            </w: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30202</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印刷费</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1,680.00</w:t>
            </w: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310</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资本性支出</w:t>
            </w:r>
          </w:p>
        </w:tc>
        <w:tc>
          <w:tcPr>
            <w:tcW w:w="172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100,860.00</w:t>
            </w: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30103</w:t>
            </w:r>
          </w:p>
        </w:tc>
        <w:tc>
          <w:tcPr>
            <w:tcW w:w="1869"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奖金</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7,049,445.83</w:t>
            </w: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30203</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咨询费</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31001</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房屋建筑物购建</w:t>
            </w:r>
          </w:p>
        </w:tc>
        <w:tc>
          <w:tcPr>
            <w:tcW w:w="172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30106</w:t>
            </w:r>
          </w:p>
        </w:tc>
        <w:tc>
          <w:tcPr>
            <w:tcW w:w="1869"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伙食补助费</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30204</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手续费</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1,069.30</w:t>
            </w: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31002</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办公设备购置</w:t>
            </w:r>
          </w:p>
        </w:tc>
        <w:tc>
          <w:tcPr>
            <w:tcW w:w="172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70,300.00</w:t>
            </w: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30107</w:t>
            </w:r>
          </w:p>
        </w:tc>
        <w:tc>
          <w:tcPr>
            <w:tcW w:w="1869"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绩效工资</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30205</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水费</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31003</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专用设备购置</w:t>
            </w:r>
          </w:p>
        </w:tc>
        <w:tc>
          <w:tcPr>
            <w:tcW w:w="172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30108</w:t>
            </w:r>
          </w:p>
        </w:tc>
        <w:tc>
          <w:tcPr>
            <w:tcW w:w="1869"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机关事业单位基本养老保险缴费</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2,498,236.58</w:t>
            </w: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30206</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电费</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31005</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基础设施建设</w:t>
            </w:r>
          </w:p>
        </w:tc>
        <w:tc>
          <w:tcPr>
            <w:tcW w:w="172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30109</w:t>
            </w:r>
          </w:p>
        </w:tc>
        <w:tc>
          <w:tcPr>
            <w:tcW w:w="1869"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职业年金缴费</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1,249,084.80</w:t>
            </w: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30207</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邮电费</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52,000.00</w:t>
            </w: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31006</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大型修缮</w:t>
            </w:r>
          </w:p>
        </w:tc>
        <w:tc>
          <w:tcPr>
            <w:tcW w:w="172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30110</w:t>
            </w:r>
          </w:p>
        </w:tc>
        <w:tc>
          <w:tcPr>
            <w:tcW w:w="1869"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职工基本医疗保险缴费</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1,489,942.00</w:t>
            </w: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30208</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取暖费</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31007</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信息网络及软件购置更新</w:t>
            </w:r>
          </w:p>
        </w:tc>
        <w:tc>
          <w:tcPr>
            <w:tcW w:w="172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30111</w:t>
            </w:r>
          </w:p>
        </w:tc>
        <w:tc>
          <w:tcPr>
            <w:tcW w:w="1869"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公务员医疗补助缴费</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312,271.20</w:t>
            </w: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30209</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物业管理费</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31008</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物资储备</w:t>
            </w:r>
          </w:p>
        </w:tc>
        <w:tc>
          <w:tcPr>
            <w:tcW w:w="172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30112</w:t>
            </w:r>
          </w:p>
        </w:tc>
        <w:tc>
          <w:tcPr>
            <w:tcW w:w="1869"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其他社会保障缴费</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106,569.25</w:t>
            </w: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30211</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差旅费</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21,890.78</w:t>
            </w: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31009</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土地补偿</w:t>
            </w:r>
          </w:p>
        </w:tc>
        <w:tc>
          <w:tcPr>
            <w:tcW w:w="172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30113</w:t>
            </w:r>
          </w:p>
        </w:tc>
        <w:tc>
          <w:tcPr>
            <w:tcW w:w="1869"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住房公积金</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8,540,641.00</w:t>
            </w: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30212</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因公出国（境）费用</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31010</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安置补助</w:t>
            </w:r>
          </w:p>
        </w:tc>
        <w:tc>
          <w:tcPr>
            <w:tcW w:w="172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30114</w:t>
            </w:r>
          </w:p>
        </w:tc>
        <w:tc>
          <w:tcPr>
            <w:tcW w:w="1869"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医疗费</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30213</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维修(护)费</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24,698.58</w:t>
            </w: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31011</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地上附着物和青苗补偿</w:t>
            </w:r>
          </w:p>
        </w:tc>
        <w:tc>
          <w:tcPr>
            <w:tcW w:w="172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30199</w:t>
            </w:r>
          </w:p>
        </w:tc>
        <w:tc>
          <w:tcPr>
            <w:tcW w:w="1869"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其他工资福利支出</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775,346.09</w:t>
            </w: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30214</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租赁费</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31012</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拆迁补偿</w:t>
            </w:r>
          </w:p>
        </w:tc>
        <w:tc>
          <w:tcPr>
            <w:tcW w:w="172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303</w:t>
            </w:r>
          </w:p>
        </w:tc>
        <w:tc>
          <w:tcPr>
            <w:tcW w:w="1869"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对个人和家庭的补助</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142,969.80</w:t>
            </w: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30215</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会议费</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31013</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公务用车购置</w:t>
            </w:r>
          </w:p>
        </w:tc>
        <w:tc>
          <w:tcPr>
            <w:tcW w:w="172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30301</w:t>
            </w:r>
          </w:p>
        </w:tc>
        <w:tc>
          <w:tcPr>
            <w:tcW w:w="1869"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离休费</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30216</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培训费</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4,420.00</w:t>
            </w: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31019</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其他交通工具购置</w:t>
            </w:r>
          </w:p>
        </w:tc>
        <w:tc>
          <w:tcPr>
            <w:tcW w:w="172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30302</w:t>
            </w:r>
          </w:p>
        </w:tc>
        <w:tc>
          <w:tcPr>
            <w:tcW w:w="1869"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退休费</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142,074.80</w:t>
            </w: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30217</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公务接待费</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600.00</w:t>
            </w: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31021</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文物和陈列品购置</w:t>
            </w:r>
          </w:p>
        </w:tc>
        <w:tc>
          <w:tcPr>
            <w:tcW w:w="172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30303</w:t>
            </w:r>
          </w:p>
        </w:tc>
        <w:tc>
          <w:tcPr>
            <w:tcW w:w="1869"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退职（役）费</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30218</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专用材料费</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31022</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无形资产购置</w:t>
            </w:r>
          </w:p>
        </w:tc>
        <w:tc>
          <w:tcPr>
            <w:tcW w:w="172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30,560.00</w:t>
            </w: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30304</w:t>
            </w:r>
          </w:p>
        </w:tc>
        <w:tc>
          <w:tcPr>
            <w:tcW w:w="1869"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抚恤金</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30224</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被装购置费</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31099</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其他资本性支出</w:t>
            </w:r>
          </w:p>
        </w:tc>
        <w:tc>
          <w:tcPr>
            <w:tcW w:w="172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30305</w:t>
            </w:r>
          </w:p>
        </w:tc>
        <w:tc>
          <w:tcPr>
            <w:tcW w:w="1869"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生活补助</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30225</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专用燃料费</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312</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对企业补助</w:t>
            </w:r>
          </w:p>
        </w:tc>
        <w:tc>
          <w:tcPr>
            <w:tcW w:w="172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30306</w:t>
            </w:r>
          </w:p>
        </w:tc>
        <w:tc>
          <w:tcPr>
            <w:tcW w:w="1869"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救济费</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30226</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劳务费</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31201</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资本金注入</w:t>
            </w:r>
          </w:p>
        </w:tc>
        <w:tc>
          <w:tcPr>
            <w:tcW w:w="172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30307</w:t>
            </w:r>
          </w:p>
        </w:tc>
        <w:tc>
          <w:tcPr>
            <w:tcW w:w="1869"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医疗费补助</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30227</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委托业务费</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31203</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政府投资基金股权投资</w:t>
            </w:r>
          </w:p>
        </w:tc>
        <w:tc>
          <w:tcPr>
            <w:tcW w:w="172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30308</w:t>
            </w:r>
          </w:p>
        </w:tc>
        <w:tc>
          <w:tcPr>
            <w:tcW w:w="1869"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助学金</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30228</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工会经费</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141,672.22</w:t>
            </w: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31204</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费用补贴</w:t>
            </w:r>
          </w:p>
        </w:tc>
        <w:tc>
          <w:tcPr>
            <w:tcW w:w="172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30309</w:t>
            </w:r>
          </w:p>
        </w:tc>
        <w:tc>
          <w:tcPr>
            <w:tcW w:w="1869"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奖励金</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895.00</w:t>
            </w: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30229</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福利费</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136,559.20</w:t>
            </w: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31205</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利息补贴</w:t>
            </w:r>
          </w:p>
        </w:tc>
        <w:tc>
          <w:tcPr>
            <w:tcW w:w="172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30310</w:t>
            </w:r>
          </w:p>
        </w:tc>
        <w:tc>
          <w:tcPr>
            <w:tcW w:w="1869"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个人农业生产补贴</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30231</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公务用车运行维护费</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49,904.57</w:t>
            </w: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31206</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其他资本性补助</w:t>
            </w:r>
          </w:p>
        </w:tc>
        <w:tc>
          <w:tcPr>
            <w:tcW w:w="172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30311</w:t>
            </w:r>
          </w:p>
        </w:tc>
        <w:tc>
          <w:tcPr>
            <w:tcW w:w="1869"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代缴社会保险费</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30239</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其他交通费用</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1,180,204.19</w:t>
            </w: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31299</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其他对企业补助</w:t>
            </w:r>
          </w:p>
        </w:tc>
        <w:tc>
          <w:tcPr>
            <w:tcW w:w="172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30399</w:t>
            </w:r>
          </w:p>
        </w:tc>
        <w:tc>
          <w:tcPr>
            <w:tcW w:w="1869"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其他对个人和家庭的补助</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30240</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税金及附加费用</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399</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其他支出</w:t>
            </w:r>
          </w:p>
        </w:tc>
        <w:tc>
          <w:tcPr>
            <w:tcW w:w="172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69"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84" w:type="dxa"/>
            <w:tcBorders>
              <w:top w:val="nil"/>
              <w:left w:val="nil"/>
              <w:bottom w:val="single" w:color="000000" w:sz="4" w:space="0"/>
              <w:right w:val="single" w:color="000000" w:sz="4" w:space="0"/>
            </w:tcBorders>
            <w:shd w:val="clear" w:color="auto" w:fill="auto"/>
            <w:vAlign w:val="center"/>
          </w:tcPr>
          <w:p>
            <w:pPr>
              <w:jc w:val="right"/>
              <w:rPr>
                <w:rFonts w:asciiTheme="minorEastAsia" w:hAnsiTheme="minorEastAsia" w:cstheme="minorEastAsia"/>
                <w:color w:val="000000"/>
                <w:sz w:val="22"/>
                <w:szCs w:val="22"/>
              </w:rPr>
            </w:pP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30299</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其他商品和服务支出</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36,500.00</w:t>
            </w: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39907</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国家赔偿费用支出</w:t>
            </w:r>
          </w:p>
        </w:tc>
        <w:tc>
          <w:tcPr>
            <w:tcW w:w="172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69"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84" w:type="dxa"/>
            <w:tcBorders>
              <w:top w:val="nil"/>
              <w:left w:val="nil"/>
              <w:bottom w:val="single" w:color="000000" w:sz="4" w:space="0"/>
              <w:right w:val="single" w:color="000000" w:sz="4" w:space="0"/>
            </w:tcBorders>
            <w:shd w:val="clear" w:color="auto" w:fill="auto"/>
            <w:vAlign w:val="center"/>
          </w:tcPr>
          <w:p>
            <w:pPr>
              <w:jc w:val="right"/>
              <w:rPr>
                <w:rFonts w:asciiTheme="minorEastAsia" w:hAnsiTheme="minorEastAsia" w:cstheme="minorEastAsia"/>
                <w:color w:val="000000"/>
                <w:sz w:val="22"/>
                <w:szCs w:val="22"/>
              </w:rPr>
            </w:pP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307</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债务利息及费用支出</w:t>
            </w:r>
          </w:p>
        </w:tc>
        <w:tc>
          <w:tcPr>
            <w:tcW w:w="1831"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39908</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对民间非营利组织和群众性自治组织补贴</w:t>
            </w:r>
          </w:p>
        </w:tc>
        <w:tc>
          <w:tcPr>
            <w:tcW w:w="1726" w:type="dxa"/>
            <w:tcBorders>
              <w:top w:val="nil"/>
              <w:left w:val="nil"/>
              <w:bottom w:val="single" w:color="000000" w:sz="4" w:space="0"/>
              <w:right w:val="single" w:color="000000" w:sz="4" w:space="0"/>
            </w:tcBorders>
            <w:shd w:val="clear" w:color="auto" w:fill="auto"/>
            <w:noWrap/>
            <w:vAlign w:val="center"/>
          </w:tcPr>
          <w:p>
            <w:pPr>
              <w:widowControl/>
              <w:jc w:val="right"/>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69"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84" w:type="dxa"/>
            <w:tcBorders>
              <w:top w:val="nil"/>
              <w:left w:val="nil"/>
              <w:bottom w:val="single" w:color="000000" w:sz="4" w:space="0"/>
              <w:right w:val="single" w:color="000000" w:sz="4" w:space="0"/>
            </w:tcBorders>
            <w:shd w:val="clear" w:color="auto" w:fill="auto"/>
            <w:vAlign w:val="center"/>
          </w:tcPr>
          <w:p>
            <w:pPr>
              <w:jc w:val="right"/>
              <w:rPr>
                <w:rFonts w:asciiTheme="minorEastAsia" w:hAnsiTheme="minorEastAsia" w:cstheme="minorEastAsia"/>
                <w:color w:val="000000"/>
                <w:sz w:val="22"/>
                <w:szCs w:val="22"/>
              </w:rPr>
            </w:pP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30701</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国内债务付息</w:t>
            </w:r>
          </w:p>
        </w:tc>
        <w:tc>
          <w:tcPr>
            <w:tcW w:w="1831"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39909</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经常性赠与</w:t>
            </w:r>
          </w:p>
        </w:tc>
        <w:tc>
          <w:tcPr>
            <w:tcW w:w="1726"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69"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84" w:type="dxa"/>
            <w:tcBorders>
              <w:top w:val="nil"/>
              <w:left w:val="nil"/>
              <w:bottom w:val="single" w:color="000000" w:sz="4" w:space="0"/>
              <w:right w:val="single" w:color="000000" w:sz="4" w:space="0"/>
            </w:tcBorders>
            <w:shd w:val="clear" w:color="auto" w:fill="auto"/>
            <w:vAlign w:val="center"/>
          </w:tcPr>
          <w:p>
            <w:pPr>
              <w:jc w:val="right"/>
              <w:rPr>
                <w:rFonts w:asciiTheme="minorEastAsia" w:hAnsiTheme="minorEastAsia" w:cstheme="minorEastAsia"/>
                <w:color w:val="000000"/>
                <w:sz w:val="22"/>
                <w:szCs w:val="22"/>
              </w:rPr>
            </w:pPr>
          </w:p>
        </w:tc>
        <w:tc>
          <w:tcPr>
            <w:tcW w:w="877"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30702</w:t>
            </w:r>
          </w:p>
        </w:tc>
        <w:tc>
          <w:tcPr>
            <w:tcW w:w="1800"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国外债务付息</w:t>
            </w:r>
          </w:p>
        </w:tc>
        <w:tc>
          <w:tcPr>
            <w:tcW w:w="1831"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39910</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资本性赠与</w:t>
            </w:r>
          </w:p>
        </w:tc>
        <w:tc>
          <w:tcPr>
            <w:tcW w:w="1726"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69"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84" w:type="dxa"/>
            <w:tcBorders>
              <w:top w:val="nil"/>
              <w:left w:val="nil"/>
              <w:bottom w:val="single" w:color="000000" w:sz="4" w:space="0"/>
              <w:right w:val="single" w:color="000000" w:sz="4" w:space="0"/>
            </w:tcBorders>
            <w:shd w:val="clear" w:color="auto" w:fill="auto"/>
            <w:vAlign w:val="center"/>
          </w:tcPr>
          <w:p>
            <w:pPr>
              <w:rPr>
                <w:rFonts w:asciiTheme="minorEastAsia" w:hAnsiTheme="minorEastAsia" w:cstheme="minorEastAsia"/>
                <w:color w:val="000000"/>
                <w:sz w:val="22"/>
                <w:szCs w:val="22"/>
              </w:rPr>
            </w:pPr>
          </w:p>
        </w:tc>
        <w:tc>
          <w:tcPr>
            <w:tcW w:w="877"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00"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831" w:type="dxa"/>
            <w:tcBorders>
              <w:top w:val="nil"/>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109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39999</w:t>
            </w:r>
          </w:p>
        </w:tc>
        <w:tc>
          <w:tcPr>
            <w:tcW w:w="1984"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  其他支出</w:t>
            </w:r>
          </w:p>
        </w:tc>
        <w:tc>
          <w:tcPr>
            <w:tcW w:w="1726"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2797" w:type="dxa"/>
            <w:gridSpan w:val="2"/>
            <w:tcBorders>
              <w:top w:val="nil"/>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人员经费合计</w:t>
            </w:r>
          </w:p>
        </w:tc>
        <w:tc>
          <w:tcPr>
            <w:tcW w:w="1884"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35,457,726.55</w:t>
            </w:r>
          </w:p>
        </w:tc>
        <w:tc>
          <w:tcPr>
            <w:tcW w:w="7584" w:type="dxa"/>
            <w:gridSpan w:val="5"/>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公用经费合计</w:t>
            </w:r>
          </w:p>
        </w:tc>
        <w:tc>
          <w:tcPr>
            <w:tcW w:w="1726"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2,092,045.48</w:t>
            </w:r>
          </w:p>
        </w:tc>
      </w:tr>
      <w:tr>
        <w:tblPrEx>
          <w:tblCellMar>
            <w:top w:w="0" w:type="dxa"/>
            <w:left w:w="108" w:type="dxa"/>
            <w:bottom w:w="0" w:type="dxa"/>
            <w:right w:w="108" w:type="dxa"/>
          </w:tblCellMar>
        </w:tblPrEx>
        <w:trPr>
          <w:trHeight w:val="308" w:hRule="atLeast"/>
        </w:trPr>
        <w:tc>
          <w:tcPr>
            <w:tcW w:w="13991" w:type="dxa"/>
            <w:gridSpan w:val="9"/>
            <w:tcBorders>
              <w:top w:val="nil"/>
              <w:left w:val="nil"/>
              <w:bottom w:val="nil"/>
              <w:right w:val="nil"/>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注：本表反映本年度一般公共预算财政拨款基本支出明细情况。</w:t>
            </w:r>
          </w:p>
        </w:tc>
      </w:tr>
    </w:tbl>
    <w:p>
      <w:pPr>
        <w:rPr>
          <w:rFonts w:asciiTheme="minorEastAsia" w:hAnsiTheme="minorEastAsia" w:cstheme="minorEastAsia"/>
          <w:sz w:val="22"/>
          <w:szCs w:val="22"/>
        </w:rPr>
      </w:pPr>
      <w:r>
        <w:rPr>
          <w:rFonts w:hint="eastAsia" w:asciiTheme="minorEastAsia" w:hAnsiTheme="minorEastAsia" w:cstheme="minorEastAsia"/>
          <w:sz w:val="22"/>
          <w:szCs w:val="22"/>
        </w:rPr>
        <w:br w:type="page"/>
      </w:r>
    </w:p>
    <w:p>
      <w:pPr>
        <w:pStyle w:val="28"/>
        <w:widowControl/>
        <w:jc w:val="both"/>
        <w:rPr>
          <w:rFonts w:asciiTheme="minorEastAsia" w:hAnsiTheme="minorEastAsia" w:eastAsiaTheme="minorEastAsia" w:cstheme="minorEastAsia"/>
          <w:color w:val="auto"/>
          <w:sz w:val="22"/>
          <w:szCs w:val="22"/>
        </w:rPr>
      </w:pPr>
      <w:r>
        <w:rPr>
          <w:rFonts w:hint="eastAsia" w:ascii="仿宋" w:hAnsi="仿宋" w:eastAsia="仿宋" w:cs="仿宋"/>
          <w:b/>
          <w:bCs/>
        </w:rPr>
        <w:t xml:space="preserve">八、政府性基金预算财政拨款收入支出决算表 </w:t>
      </w:r>
    </w:p>
    <w:tbl>
      <w:tblPr>
        <w:tblStyle w:val="11"/>
        <w:tblW w:w="13992" w:type="dxa"/>
        <w:tblInd w:w="0" w:type="dxa"/>
        <w:tblLayout w:type="fixed"/>
        <w:tblCellMar>
          <w:top w:w="0" w:type="dxa"/>
          <w:left w:w="108" w:type="dxa"/>
          <w:bottom w:w="0" w:type="dxa"/>
          <w:right w:w="108" w:type="dxa"/>
        </w:tblCellMar>
      </w:tblPr>
      <w:tblGrid>
        <w:gridCol w:w="1281"/>
        <w:gridCol w:w="3851"/>
        <w:gridCol w:w="1510"/>
        <w:gridCol w:w="1537"/>
        <w:gridCol w:w="1429"/>
        <w:gridCol w:w="1428"/>
        <w:gridCol w:w="1509"/>
        <w:gridCol w:w="1447"/>
      </w:tblGrid>
      <w:tr>
        <w:tblPrEx>
          <w:tblCellMar>
            <w:top w:w="0" w:type="dxa"/>
            <w:left w:w="108" w:type="dxa"/>
            <w:bottom w:w="0" w:type="dxa"/>
            <w:right w:w="108" w:type="dxa"/>
          </w:tblCellMar>
        </w:tblPrEx>
        <w:trPr>
          <w:trHeight w:val="320" w:hRule="atLeast"/>
        </w:trPr>
        <w:tc>
          <w:tcPr>
            <w:tcW w:w="12545" w:type="dxa"/>
            <w:gridSpan w:val="7"/>
            <w:tcBorders>
              <w:top w:val="nil"/>
              <w:left w:val="nil"/>
              <w:bottom w:val="nil"/>
              <w:right w:val="nil"/>
            </w:tcBorders>
            <w:shd w:val="clear" w:color="auto" w:fill="auto"/>
            <w:noWrap/>
            <w:vAlign w:val="bottom"/>
          </w:tcPr>
          <w:p>
            <w:pPr>
              <w:widowControl/>
              <w:textAlignment w:val="bottom"/>
              <w:rPr>
                <w:rFonts w:ascii="宋体-简" w:hAnsi="宋体-简" w:eastAsia="宋体-简" w:cs="宋体-简"/>
                <w:color w:val="000000"/>
                <w:sz w:val="20"/>
                <w:szCs w:val="20"/>
              </w:rPr>
            </w:pPr>
            <w:r>
              <w:rPr>
                <w:rFonts w:hint="eastAsia" w:ascii="宋体-简" w:hAnsi="宋体-简" w:eastAsia="宋体-简" w:cs="宋体-简"/>
                <w:color w:val="000000"/>
                <w:sz w:val="20"/>
                <w:szCs w:val="20"/>
              </w:rPr>
              <w:t>部门（单位）：</w:t>
            </w:r>
            <w:r>
              <w:rPr>
                <w:rFonts w:ascii="Arial" w:hAnsi="Arial" w:eastAsia="宋体-简" w:cs="Arial"/>
                <w:color w:val="000000"/>
                <w:sz w:val="20"/>
                <w:szCs w:val="20"/>
              </w:rPr>
              <w:t xml:space="preserve">中国共产党天津市南开区纪律检查委员会（本级） </w:t>
            </w:r>
          </w:p>
        </w:tc>
        <w:tc>
          <w:tcPr>
            <w:tcW w:w="1447" w:type="dxa"/>
            <w:tcBorders>
              <w:top w:val="nil"/>
              <w:left w:val="nil"/>
              <w:bottom w:val="nil"/>
              <w:right w:val="nil"/>
            </w:tcBorders>
            <w:shd w:val="clear" w:color="auto" w:fill="auto"/>
            <w:noWrap/>
            <w:vAlign w:val="bottom"/>
          </w:tcPr>
          <w:p>
            <w:pPr>
              <w:widowControl/>
              <w:textAlignment w:val="bottom"/>
              <w:rPr>
                <w:rFonts w:ascii="宋体" w:hAnsi="宋体" w:eastAsia="宋体"/>
                <w:color w:val="000000"/>
                <w:sz w:val="20"/>
                <w:szCs w:val="20"/>
              </w:rPr>
            </w:pPr>
            <w:r>
              <w:rPr>
                <w:rFonts w:hint="eastAsia" w:ascii="宋体" w:hAnsi="宋体" w:eastAsia="宋体"/>
                <w:color w:val="000000"/>
                <w:sz w:val="20"/>
                <w:szCs w:val="20"/>
              </w:rPr>
              <w:t>单位：元</w:t>
            </w:r>
          </w:p>
        </w:tc>
      </w:tr>
      <w:tr>
        <w:tblPrEx>
          <w:tblCellMar>
            <w:top w:w="0" w:type="dxa"/>
            <w:left w:w="108" w:type="dxa"/>
            <w:bottom w:w="0" w:type="dxa"/>
            <w:right w:w="108" w:type="dxa"/>
          </w:tblCellMar>
        </w:tblPrEx>
        <w:trPr>
          <w:trHeight w:val="308" w:hRule="atLeast"/>
        </w:trPr>
        <w:tc>
          <w:tcPr>
            <w:tcW w:w="513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支出功能分类科目</w:t>
            </w:r>
          </w:p>
        </w:tc>
        <w:tc>
          <w:tcPr>
            <w:tcW w:w="1510"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年初结转和结余</w:t>
            </w:r>
          </w:p>
        </w:tc>
        <w:tc>
          <w:tcPr>
            <w:tcW w:w="1537"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本年收入</w:t>
            </w:r>
          </w:p>
        </w:tc>
        <w:tc>
          <w:tcPr>
            <w:tcW w:w="4366" w:type="dxa"/>
            <w:gridSpan w:val="3"/>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本年支出</w:t>
            </w:r>
          </w:p>
        </w:tc>
        <w:tc>
          <w:tcPr>
            <w:tcW w:w="1447"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年末结转和结余</w:t>
            </w:r>
          </w:p>
        </w:tc>
      </w:tr>
      <w:tr>
        <w:tblPrEx>
          <w:tblCellMar>
            <w:top w:w="0" w:type="dxa"/>
            <w:left w:w="108" w:type="dxa"/>
            <w:bottom w:w="0" w:type="dxa"/>
            <w:right w:w="108" w:type="dxa"/>
          </w:tblCellMar>
        </w:tblPrEx>
        <w:trPr>
          <w:trHeight w:val="308" w:hRule="atLeast"/>
        </w:trPr>
        <w:tc>
          <w:tcPr>
            <w:tcW w:w="1281" w:type="dxa"/>
            <w:tcBorders>
              <w:top w:val="nil"/>
              <w:left w:val="single" w:color="000000" w:sz="4" w:space="0"/>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科目编码</w:t>
            </w:r>
          </w:p>
        </w:tc>
        <w:tc>
          <w:tcPr>
            <w:tcW w:w="3851" w:type="dxa"/>
            <w:tcBorders>
              <w:top w:val="nil"/>
              <w:left w:val="nil"/>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科目名称</w:t>
            </w:r>
          </w:p>
        </w:tc>
        <w:tc>
          <w:tcPr>
            <w:tcW w:w="1510"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asciiTheme="minorEastAsia" w:hAnsiTheme="minorEastAsia" w:cstheme="minorEastAsia"/>
                <w:color w:val="000000"/>
                <w:sz w:val="22"/>
                <w:szCs w:val="22"/>
              </w:rPr>
            </w:pPr>
          </w:p>
        </w:tc>
        <w:tc>
          <w:tcPr>
            <w:tcW w:w="1537"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asciiTheme="minorEastAsia" w:hAnsiTheme="minorEastAsia" w:cstheme="minorEastAsia"/>
                <w:color w:val="000000"/>
                <w:sz w:val="22"/>
                <w:szCs w:val="22"/>
              </w:rPr>
            </w:pPr>
          </w:p>
        </w:tc>
        <w:tc>
          <w:tcPr>
            <w:tcW w:w="1429" w:type="dxa"/>
            <w:tcBorders>
              <w:top w:val="nil"/>
              <w:left w:val="nil"/>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小计</w:t>
            </w:r>
          </w:p>
        </w:tc>
        <w:tc>
          <w:tcPr>
            <w:tcW w:w="1428" w:type="dxa"/>
            <w:tcBorders>
              <w:top w:val="nil"/>
              <w:left w:val="nil"/>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基本支出</w:t>
            </w:r>
          </w:p>
        </w:tc>
        <w:tc>
          <w:tcPr>
            <w:tcW w:w="1509" w:type="dxa"/>
            <w:tcBorders>
              <w:top w:val="nil"/>
              <w:left w:val="nil"/>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项目支出</w:t>
            </w:r>
          </w:p>
        </w:tc>
        <w:tc>
          <w:tcPr>
            <w:tcW w:w="1447"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800" w:hRule="atLeast"/>
        </w:trPr>
        <w:tc>
          <w:tcPr>
            <w:tcW w:w="513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合计</w:t>
            </w:r>
          </w:p>
        </w:tc>
        <w:tc>
          <w:tcPr>
            <w:tcW w:w="15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22"/>
                <w:szCs w:val="22"/>
              </w:rPr>
            </w:pPr>
          </w:p>
        </w:tc>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22"/>
                <w:szCs w:val="22"/>
              </w:rPr>
            </w:pP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22"/>
                <w:szCs w:val="22"/>
              </w:rPr>
            </w:pP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22"/>
                <w:szCs w:val="22"/>
              </w:rPr>
            </w:pP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22"/>
                <w:szCs w:val="22"/>
              </w:rPr>
            </w:pPr>
          </w:p>
        </w:tc>
        <w:tc>
          <w:tcPr>
            <w:tcW w:w="14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13992" w:type="dxa"/>
            <w:gridSpan w:val="8"/>
            <w:tcBorders>
              <w:top w:val="nil"/>
              <w:left w:val="nil"/>
              <w:bottom w:val="nil"/>
              <w:right w:val="nil"/>
            </w:tcBorders>
            <w:shd w:val="clear" w:color="auto" w:fill="auto"/>
            <w:noWrap/>
            <w:vAlign w:val="center"/>
          </w:tcPr>
          <w:p>
            <w:pPr>
              <w:widowControl/>
              <w:textAlignment w:val="center"/>
              <w:rPr>
                <w:rFonts w:ascii="宋体" w:hAnsi="宋体" w:eastAsia="宋体"/>
                <w:color w:val="000000"/>
                <w:sz w:val="22"/>
                <w:szCs w:val="22"/>
              </w:rPr>
            </w:pPr>
            <w:r>
              <w:rPr>
                <w:rFonts w:hint="eastAsia" w:ascii="宋体" w:hAnsi="宋体" w:eastAsia="宋体"/>
                <w:color w:val="000000"/>
                <w:sz w:val="22"/>
                <w:szCs w:val="22"/>
              </w:rPr>
              <w:t>注：本表反映本年度政府性基金预算财政拨款收入、支出及结转和结余情况。</w:t>
            </w:r>
          </w:p>
        </w:tc>
      </w:tr>
    </w:tbl>
    <w:p>
      <w:pPr>
        <w:widowControl/>
        <w:ind w:firstLine="600" w:firstLineChars="200"/>
        <w:rPr>
          <w:rFonts w:ascii="宋体" w:eastAsia="仿宋_GB2312"/>
          <w:sz w:val="30"/>
          <w:szCs w:val="30"/>
        </w:rPr>
      </w:pPr>
      <w:r>
        <w:rPr>
          <w:rFonts w:ascii="宋体" w:eastAsia="仿宋_GB2312"/>
          <w:sz w:val="30"/>
          <w:szCs w:val="30"/>
        </w:rPr>
        <w:t>中国共产党天津市南开区纪律检查委员会（本级）2024年政府性基金预算财政拨款收入支出决算表为空表。</w:t>
      </w:r>
    </w:p>
    <w:p>
      <w:pPr>
        <w:rPr>
          <w:rFonts w:asciiTheme="minorEastAsia" w:hAnsiTheme="minorEastAsia" w:cstheme="minorEastAsia"/>
          <w:sz w:val="22"/>
          <w:szCs w:val="22"/>
        </w:rPr>
      </w:pPr>
      <w:r>
        <w:rPr>
          <w:rFonts w:hint="eastAsia" w:asciiTheme="minorEastAsia" w:hAnsiTheme="minorEastAsia" w:cstheme="minorEastAsia"/>
          <w:sz w:val="22"/>
          <w:szCs w:val="22"/>
        </w:rPr>
        <w:br w:type="page"/>
      </w:r>
    </w:p>
    <w:p>
      <w:pPr>
        <w:pStyle w:val="28"/>
        <w:widowControl/>
        <w:jc w:val="both"/>
        <w:rPr>
          <w:rFonts w:asciiTheme="minorEastAsia" w:hAnsiTheme="minorEastAsia" w:eastAsiaTheme="minorEastAsia" w:cstheme="minorEastAsia"/>
          <w:color w:val="auto"/>
          <w:sz w:val="22"/>
          <w:szCs w:val="22"/>
        </w:rPr>
      </w:pPr>
      <w:r>
        <w:rPr>
          <w:rFonts w:hint="eastAsia" w:ascii="仿宋" w:hAnsi="仿宋" w:eastAsia="仿宋" w:cs="仿宋"/>
          <w:b/>
          <w:bCs/>
        </w:rPr>
        <w:t xml:space="preserve">九、国有资本经营预算财政拨款支出决算表 </w:t>
      </w:r>
    </w:p>
    <w:tbl>
      <w:tblPr>
        <w:tblStyle w:val="11"/>
        <w:tblW w:w="13992" w:type="dxa"/>
        <w:tblInd w:w="0" w:type="dxa"/>
        <w:tblLayout w:type="fixed"/>
        <w:tblCellMar>
          <w:top w:w="0" w:type="dxa"/>
          <w:left w:w="108" w:type="dxa"/>
          <w:bottom w:w="0" w:type="dxa"/>
          <w:right w:w="108" w:type="dxa"/>
        </w:tblCellMar>
      </w:tblPr>
      <w:tblGrid>
        <w:gridCol w:w="1322"/>
        <w:gridCol w:w="3442"/>
        <w:gridCol w:w="1619"/>
        <w:gridCol w:w="1579"/>
        <w:gridCol w:w="1523"/>
        <w:gridCol w:w="1606"/>
        <w:gridCol w:w="1468"/>
        <w:gridCol w:w="1433"/>
      </w:tblGrid>
      <w:tr>
        <w:tblPrEx>
          <w:tblCellMar>
            <w:top w:w="0" w:type="dxa"/>
            <w:left w:w="108" w:type="dxa"/>
            <w:bottom w:w="0" w:type="dxa"/>
            <w:right w:w="108" w:type="dxa"/>
          </w:tblCellMar>
        </w:tblPrEx>
        <w:trPr>
          <w:trHeight w:val="320" w:hRule="atLeast"/>
        </w:trPr>
        <w:tc>
          <w:tcPr>
            <w:tcW w:w="12559" w:type="dxa"/>
            <w:gridSpan w:val="7"/>
            <w:tcBorders>
              <w:top w:val="nil"/>
              <w:left w:val="nil"/>
              <w:bottom w:val="nil"/>
              <w:right w:val="nil"/>
            </w:tcBorders>
            <w:shd w:val="clear" w:color="auto" w:fill="auto"/>
            <w:noWrap/>
            <w:vAlign w:val="bottom"/>
          </w:tcPr>
          <w:p>
            <w:pPr>
              <w:widowControl/>
              <w:textAlignment w:val="bottom"/>
              <w:rPr>
                <w:rFonts w:ascii="宋体-简" w:hAnsi="宋体-简" w:eastAsia="宋体-简" w:cs="宋体-简"/>
                <w:color w:val="000000"/>
                <w:sz w:val="20"/>
                <w:szCs w:val="20"/>
              </w:rPr>
            </w:pPr>
            <w:r>
              <w:rPr>
                <w:rFonts w:hint="eastAsia" w:ascii="宋体-简" w:hAnsi="宋体-简" w:eastAsia="宋体-简" w:cs="宋体-简"/>
                <w:color w:val="000000"/>
                <w:sz w:val="20"/>
                <w:szCs w:val="20"/>
              </w:rPr>
              <w:t>部门（单位）：</w:t>
            </w:r>
            <w:r>
              <w:rPr>
                <w:rFonts w:ascii="Arial" w:hAnsi="Arial" w:eastAsia="宋体-简" w:cs="Arial"/>
                <w:color w:val="000000"/>
                <w:sz w:val="20"/>
                <w:szCs w:val="20"/>
              </w:rPr>
              <w:t xml:space="preserve">中国共产党天津市南开区纪律检查委员会（本级） </w:t>
            </w:r>
          </w:p>
        </w:tc>
        <w:tc>
          <w:tcPr>
            <w:tcW w:w="1433" w:type="dxa"/>
            <w:tcBorders>
              <w:top w:val="nil"/>
              <w:left w:val="nil"/>
              <w:bottom w:val="nil"/>
              <w:right w:val="nil"/>
            </w:tcBorders>
            <w:shd w:val="clear" w:color="auto" w:fill="auto"/>
            <w:noWrap/>
            <w:vAlign w:val="bottom"/>
          </w:tcPr>
          <w:p>
            <w:pPr>
              <w:widowControl/>
              <w:textAlignment w:val="bottom"/>
              <w:rPr>
                <w:rFonts w:ascii="宋体" w:hAnsi="宋体" w:eastAsia="宋体"/>
                <w:color w:val="000000"/>
                <w:sz w:val="20"/>
                <w:szCs w:val="20"/>
              </w:rPr>
            </w:pPr>
            <w:r>
              <w:rPr>
                <w:rFonts w:hint="eastAsia" w:ascii="宋体" w:hAnsi="宋体" w:eastAsia="宋体"/>
                <w:color w:val="000000"/>
                <w:sz w:val="20"/>
                <w:szCs w:val="20"/>
              </w:rPr>
              <w:t>单位：元</w:t>
            </w:r>
          </w:p>
        </w:tc>
      </w:tr>
      <w:tr>
        <w:tblPrEx>
          <w:tblCellMar>
            <w:top w:w="0" w:type="dxa"/>
            <w:left w:w="108" w:type="dxa"/>
            <w:bottom w:w="0" w:type="dxa"/>
            <w:right w:w="108" w:type="dxa"/>
          </w:tblCellMar>
        </w:tblPrEx>
        <w:trPr>
          <w:trHeight w:val="308" w:hRule="atLeast"/>
        </w:trPr>
        <w:tc>
          <w:tcPr>
            <w:tcW w:w="47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支出功能分类科目</w:t>
            </w:r>
          </w:p>
        </w:tc>
        <w:tc>
          <w:tcPr>
            <w:tcW w:w="161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年初结转和结余</w:t>
            </w:r>
          </w:p>
        </w:tc>
        <w:tc>
          <w:tcPr>
            <w:tcW w:w="157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本年收入</w:t>
            </w:r>
          </w:p>
        </w:tc>
        <w:tc>
          <w:tcPr>
            <w:tcW w:w="459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本年支出</w:t>
            </w:r>
          </w:p>
        </w:tc>
        <w:tc>
          <w:tcPr>
            <w:tcW w:w="143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年末结转和结余</w:t>
            </w:r>
          </w:p>
        </w:tc>
      </w:tr>
      <w:tr>
        <w:tblPrEx>
          <w:tblCellMar>
            <w:top w:w="0" w:type="dxa"/>
            <w:left w:w="108" w:type="dxa"/>
            <w:bottom w:w="0" w:type="dxa"/>
            <w:right w:w="108" w:type="dxa"/>
          </w:tblCellMar>
        </w:tblPrEx>
        <w:trPr>
          <w:trHeight w:val="308" w:hRule="atLeast"/>
        </w:trPr>
        <w:tc>
          <w:tcPr>
            <w:tcW w:w="1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科目编码</w:t>
            </w:r>
          </w:p>
        </w:tc>
        <w:tc>
          <w:tcPr>
            <w:tcW w:w="34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科目名称</w:t>
            </w:r>
          </w:p>
        </w:tc>
        <w:tc>
          <w:tcPr>
            <w:tcW w:w="161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heme="minorEastAsia" w:hAnsiTheme="minorEastAsia" w:cstheme="minorEastAsia"/>
                <w:color w:val="000000"/>
                <w:sz w:val="22"/>
                <w:szCs w:val="22"/>
              </w:rPr>
            </w:pPr>
          </w:p>
        </w:tc>
        <w:tc>
          <w:tcPr>
            <w:tcW w:w="157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heme="minorEastAsia" w:hAnsiTheme="minorEastAsia" w:cstheme="minorEastAsia"/>
                <w:color w:val="000000"/>
                <w:sz w:val="22"/>
                <w:szCs w:val="22"/>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合计</w:t>
            </w:r>
          </w:p>
        </w:tc>
        <w:tc>
          <w:tcPr>
            <w:tcW w:w="1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基本支出</w:t>
            </w:r>
          </w:p>
        </w:tc>
        <w:tc>
          <w:tcPr>
            <w:tcW w:w="1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项目支出</w:t>
            </w:r>
          </w:p>
        </w:tc>
        <w:tc>
          <w:tcPr>
            <w:tcW w:w="143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980" w:hRule="atLeast"/>
        </w:trPr>
        <w:tc>
          <w:tcPr>
            <w:tcW w:w="47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合计</w:t>
            </w:r>
          </w:p>
        </w:tc>
        <w:tc>
          <w:tcPr>
            <w:tcW w:w="16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22"/>
                <w:szCs w:val="22"/>
              </w:rPr>
            </w:pPr>
          </w:p>
        </w:tc>
        <w:tc>
          <w:tcPr>
            <w:tcW w:w="15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22"/>
                <w:szCs w:val="22"/>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22"/>
                <w:szCs w:val="22"/>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22"/>
                <w:szCs w:val="22"/>
              </w:rPr>
            </w:pPr>
          </w:p>
        </w:tc>
        <w:tc>
          <w:tcPr>
            <w:tcW w:w="14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22"/>
                <w:szCs w:val="22"/>
              </w:rPr>
            </w:pP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13992" w:type="dxa"/>
            <w:gridSpan w:val="8"/>
            <w:tcBorders>
              <w:top w:val="nil"/>
              <w:left w:val="nil"/>
              <w:bottom w:val="nil"/>
              <w:right w:val="nil"/>
            </w:tcBorders>
            <w:shd w:val="clear" w:color="auto" w:fill="auto"/>
            <w:noWrap/>
            <w:vAlign w:val="center"/>
          </w:tcPr>
          <w:p>
            <w:pPr>
              <w:widowControl/>
              <w:textAlignment w:val="center"/>
              <w:rPr>
                <w:rFonts w:ascii="宋体" w:hAnsi="宋体" w:eastAsia="宋体"/>
                <w:color w:val="000000"/>
                <w:sz w:val="22"/>
                <w:szCs w:val="22"/>
              </w:rPr>
            </w:pPr>
            <w:r>
              <w:rPr>
                <w:rFonts w:hint="eastAsia" w:ascii="宋体" w:hAnsi="宋体" w:eastAsia="宋体"/>
                <w:color w:val="000000"/>
                <w:sz w:val="22"/>
                <w:szCs w:val="22"/>
              </w:rPr>
              <w:t>注：本表反映本年度国有资本经营预算财政拨款收入、支出及结转和结余情况。</w:t>
            </w:r>
          </w:p>
        </w:tc>
      </w:tr>
    </w:tbl>
    <w:p>
      <w:pPr>
        <w:widowControl/>
        <w:ind w:firstLine="600" w:firstLineChars="200"/>
        <w:rPr>
          <w:rFonts w:ascii="宋体" w:eastAsia="仿宋_GB2312"/>
          <w:sz w:val="30"/>
          <w:szCs w:val="30"/>
        </w:rPr>
      </w:pPr>
      <w:r>
        <w:rPr>
          <w:rFonts w:ascii="宋体" w:eastAsia="仿宋_GB2312"/>
          <w:sz w:val="30"/>
          <w:szCs w:val="30"/>
        </w:rPr>
        <w:t>中国共产党天津市南开区纪律检查委员会（本级）2024年国有资本经营预算财政拨款收入支出决算表为空表。</w:t>
      </w:r>
    </w:p>
    <w:p>
      <w:pPr>
        <w:rPr>
          <w:rFonts w:asciiTheme="minorEastAsia" w:hAnsiTheme="minorEastAsia" w:cstheme="minorEastAsia"/>
          <w:sz w:val="22"/>
          <w:szCs w:val="22"/>
        </w:rPr>
      </w:pPr>
      <w:r>
        <w:rPr>
          <w:rFonts w:hint="eastAsia" w:asciiTheme="minorEastAsia" w:hAnsiTheme="minorEastAsia" w:cstheme="minorEastAsia"/>
          <w:sz w:val="22"/>
          <w:szCs w:val="22"/>
        </w:rPr>
        <w:br w:type="page"/>
      </w:r>
    </w:p>
    <w:p>
      <w:pPr>
        <w:pStyle w:val="28"/>
        <w:widowControl/>
        <w:jc w:val="both"/>
        <w:rPr>
          <w:rFonts w:ascii="仿宋" w:hAnsi="仿宋" w:eastAsia="仿宋" w:cs="仿宋"/>
          <w:b/>
          <w:bCs/>
        </w:rPr>
      </w:pPr>
      <w:r>
        <w:rPr>
          <w:rFonts w:hint="eastAsia" w:ascii="仿宋" w:hAnsi="仿宋" w:eastAsia="仿宋" w:cs="仿宋"/>
          <w:b/>
          <w:bCs/>
        </w:rPr>
        <w:t xml:space="preserve">十、财政拨款“三公”经费支出决算表 </w:t>
      </w:r>
    </w:p>
    <w:tbl>
      <w:tblPr>
        <w:tblStyle w:val="11"/>
        <w:tblW w:w="13638" w:type="dxa"/>
        <w:tblInd w:w="88" w:type="dxa"/>
        <w:tblLayout w:type="fixed"/>
        <w:tblCellMar>
          <w:top w:w="0" w:type="dxa"/>
          <w:left w:w="108" w:type="dxa"/>
          <w:bottom w:w="0" w:type="dxa"/>
          <w:right w:w="108" w:type="dxa"/>
        </w:tblCellMar>
      </w:tblPr>
      <w:tblGrid>
        <w:gridCol w:w="2169"/>
        <w:gridCol w:w="2108"/>
        <w:gridCol w:w="2400"/>
        <w:gridCol w:w="2385"/>
        <w:gridCol w:w="2430"/>
        <w:gridCol w:w="2146"/>
      </w:tblGrid>
      <w:tr>
        <w:tblPrEx>
          <w:tblCellMar>
            <w:top w:w="0" w:type="dxa"/>
            <w:left w:w="108" w:type="dxa"/>
            <w:bottom w:w="0" w:type="dxa"/>
            <w:right w:w="108" w:type="dxa"/>
          </w:tblCellMar>
        </w:tblPrEx>
        <w:trPr>
          <w:trHeight w:val="320" w:hRule="atLeast"/>
        </w:trPr>
        <w:tc>
          <w:tcPr>
            <w:tcW w:w="11492" w:type="dxa"/>
            <w:gridSpan w:val="5"/>
            <w:tcBorders>
              <w:top w:val="nil"/>
              <w:left w:val="nil"/>
              <w:bottom w:val="nil"/>
              <w:right w:val="nil"/>
            </w:tcBorders>
            <w:shd w:val="clear" w:color="auto" w:fill="auto"/>
            <w:noWrap/>
            <w:vAlign w:val="bottom"/>
          </w:tcPr>
          <w:p>
            <w:pPr>
              <w:widowControl/>
              <w:textAlignment w:val="bottom"/>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部门（单位）：中国共产党天津市南开区纪律检查委员会（本级） </w:t>
            </w:r>
          </w:p>
        </w:tc>
        <w:tc>
          <w:tcPr>
            <w:tcW w:w="2146" w:type="dxa"/>
            <w:tcBorders>
              <w:top w:val="nil"/>
              <w:left w:val="nil"/>
              <w:bottom w:val="nil"/>
              <w:right w:val="nil"/>
            </w:tcBorders>
            <w:shd w:val="clear" w:color="auto" w:fill="auto"/>
            <w:noWrap/>
            <w:vAlign w:val="bottom"/>
          </w:tcPr>
          <w:p>
            <w:pPr>
              <w:widowControl/>
              <w:textAlignment w:val="bottom"/>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单位：元</w:t>
            </w:r>
          </w:p>
        </w:tc>
      </w:tr>
      <w:tr>
        <w:tblPrEx>
          <w:tblCellMar>
            <w:top w:w="0" w:type="dxa"/>
            <w:left w:w="108" w:type="dxa"/>
            <w:bottom w:w="0" w:type="dxa"/>
            <w:right w:w="108" w:type="dxa"/>
          </w:tblCellMar>
        </w:tblPrEx>
        <w:trPr>
          <w:trHeight w:val="308" w:hRule="atLeast"/>
        </w:trPr>
        <w:tc>
          <w:tcPr>
            <w:tcW w:w="216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合计</w:t>
            </w:r>
          </w:p>
        </w:tc>
        <w:tc>
          <w:tcPr>
            <w:tcW w:w="2108"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因公出国（境）费</w:t>
            </w:r>
          </w:p>
        </w:tc>
        <w:tc>
          <w:tcPr>
            <w:tcW w:w="7215" w:type="dxa"/>
            <w:gridSpan w:val="3"/>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公务用车购置及运行维护费</w:t>
            </w:r>
          </w:p>
        </w:tc>
        <w:tc>
          <w:tcPr>
            <w:tcW w:w="2146" w:type="dxa"/>
            <w:vMerge w:val="restart"/>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公务接待费</w:t>
            </w:r>
          </w:p>
        </w:tc>
      </w:tr>
      <w:tr>
        <w:tblPrEx>
          <w:tblCellMar>
            <w:top w:w="0" w:type="dxa"/>
            <w:left w:w="108" w:type="dxa"/>
            <w:bottom w:w="0" w:type="dxa"/>
            <w:right w:w="108" w:type="dxa"/>
          </w:tblCellMar>
        </w:tblPrEx>
        <w:trPr>
          <w:trHeight w:val="308" w:hRule="atLeast"/>
        </w:trPr>
        <w:tc>
          <w:tcPr>
            <w:tcW w:w="216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2108" w:type="dxa"/>
            <w:vMerge w:val="continue"/>
            <w:tcBorders>
              <w:top w:val="single" w:color="000000" w:sz="4" w:space="0"/>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c>
          <w:tcPr>
            <w:tcW w:w="2400" w:type="dxa"/>
            <w:tcBorders>
              <w:top w:val="nil"/>
              <w:left w:val="nil"/>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小计</w:t>
            </w:r>
          </w:p>
        </w:tc>
        <w:tc>
          <w:tcPr>
            <w:tcW w:w="2385" w:type="dxa"/>
            <w:tcBorders>
              <w:top w:val="nil"/>
              <w:left w:val="nil"/>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公务用车购置费</w:t>
            </w:r>
          </w:p>
        </w:tc>
        <w:tc>
          <w:tcPr>
            <w:tcW w:w="2430" w:type="dxa"/>
            <w:tcBorders>
              <w:top w:val="nil"/>
              <w:left w:val="nil"/>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公务用车运行维护费</w:t>
            </w:r>
          </w:p>
        </w:tc>
        <w:tc>
          <w:tcPr>
            <w:tcW w:w="2146" w:type="dxa"/>
            <w:vMerge w:val="continue"/>
            <w:tcBorders>
              <w:top w:val="single" w:color="000000" w:sz="4" w:space="0"/>
              <w:left w:val="nil"/>
              <w:bottom w:val="single" w:color="000000" w:sz="4" w:space="0"/>
              <w:right w:val="single" w:color="000000" w:sz="4" w:space="0"/>
            </w:tcBorders>
            <w:shd w:val="clear" w:color="auto" w:fill="auto"/>
            <w:noWrap/>
            <w:vAlign w:val="center"/>
          </w:tcPr>
          <w:p>
            <w:pP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720" w:hRule="atLeast"/>
        </w:trPr>
        <w:tc>
          <w:tcPr>
            <w:tcW w:w="21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50,504.57</w:t>
            </w: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49,904.57</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p>
        </w:tc>
        <w:tc>
          <w:tcPr>
            <w:tcW w:w="24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49,904.57</w:t>
            </w:r>
          </w:p>
        </w:tc>
        <w:tc>
          <w:tcPr>
            <w:tcW w:w="21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600.00</w:t>
            </w:r>
          </w:p>
        </w:tc>
      </w:tr>
      <w:tr>
        <w:tblPrEx>
          <w:tblCellMar>
            <w:top w:w="0" w:type="dxa"/>
            <w:left w:w="108" w:type="dxa"/>
            <w:bottom w:w="0" w:type="dxa"/>
            <w:right w:w="108" w:type="dxa"/>
          </w:tblCellMar>
        </w:tblPrEx>
        <w:trPr>
          <w:trHeight w:val="308" w:hRule="atLeast"/>
        </w:trPr>
        <w:tc>
          <w:tcPr>
            <w:tcW w:w="13638" w:type="dxa"/>
            <w:gridSpan w:val="6"/>
            <w:tcBorders>
              <w:top w:val="nil"/>
              <w:left w:val="nil"/>
              <w:bottom w:val="nil"/>
              <w:right w:val="nil"/>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注：本表反映本年度“三公”经费支出决算情况。其中决算数是包括当年财政拨款和以前年度结转资金安排的实际支出。</w:t>
            </w:r>
          </w:p>
        </w:tc>
      </w:tr>
    </w:tbl>
    <w:p>
      <w:pPr>
        <w:rPr>
          <w:rFonts w:asciiTheme="minorEastAsia" w:hAnsiTheme="minorEastAsia" w:cstheme="minorEastAsia"/>
          <w:sz w:val="22"/>
          <w:szCs w:val="22"/>
        </w:rPr>
      </w:pPr>
      <w:r>
        <w:rPr>
          <w:rFonts w:hint="eastAsia" w:asciiTheme="minorEastAsia" w:hAnsiTheme="minorEastAsia" w:cstheme="minorEastAsia"/>
          <w:sz w:val="22"/>
          <w:szCs w:val="22"/>
        </w:rPr>
        <w:br w:type="page"/>
      </w:r>
    </w:p>
    <w:p>
      <w:pPr>
        <w:pStyle w:val="28"/>
        <w:widowControl/>
        <w:jc w:val="both"/>
        <w:rPr>
          <w:rFonts w:ascii="仿宋" w:hAnsi="仿宋" w:eastAsia="仿宋" w:cs="仿宋"/>
          <w:b/>
          <w:bCs/>
        </w:rPr>
      </w:pPr>
      <w:r>
        <w:rPr>
          <w:rFonts w:hint="eastAsia" w:ascii="仿宋" w:hAnsi="仿宋" w:eastAsia="仿宋" w:cs="仿宋"/>
          <w:b/>
          <w:bCs/>
        </w:rPr>
        <w:t xml:space="preserve">十一、项目支出决算表 </w:t>
      </w:r>
    </w:p>
    <w:tbl>
      <w:tblPr>
        <w:tblStyle w:val="11"/>
        <w:tblW w:w="13991" w:type="dxa"/>
        <w:tblInd w:w="0" w:type="dxa"/>
        <w:tblLayout w:type="fixed"/>
        <w:tblCellMar>
          <w:top w:w="0" w:type="dxa"/>
          <w:left w:w="108" w:type="dxa"/>
          <w:bottom w:w="0" w:type="dxa"/>
          <w:right w:w="108" w:type="dxa"/>
        </w:tblCellMar>
      </w:tblPr>
      <w:tblGrid>
        <w:gridCol w:w="1112"/>
        <w:gridCol w:w="2862"/>
        <w:gridCol w:w="1738"/>
        <w:gridCol w:w="1616"/>
        <w:gridCol w:w="1707"/>
        <w:gridCol w:w="1693"/>
        <w:gridCol w:w="1674"/>
        <w:gridCol w:w="1589"/>
      </w:tblGrid>
      <w:tr>
        <w:tblPrEx>
          <w:tblCellMar>
            <w:top w:w="0" w:type="dxa"/>
            <w:left w:w="108" w:type="dxa"/>
            <w:bottom w:w="0" w:type="dxa"/>
            <w:right w:w="108" w:type="dxa"/>
          </w:tblCellMar>
        </w:tblPrEx>
        <w:trPr>
          <w:trHeight w:val="320" w:hRule="atLeast"/>
        </w:trPr>
        <w:tc>
          <w:tcPr>
            <w:tcW w:w="12402" w:type="dxa"/>
            <w:gridSpan w:val="7"/>
            <w:tcBorders>
              <w:top w:val="nil"/>
              <w:left w:val="nil"/>
              <w:bottom w:val="nil"/>
              <w:right w:val="nil"/>
            </w:tcBorders>
            <w:shd w:val="clear" w:color="auto" w:fill="auto"/>
            <w:noWrap/>
            <w:vAlign w:val="bottom"/>
          </w:tcPr>
          <w:p>
            <w:pPr>
              <w:widowControl/>
              <w:textAlignment w:val="bottom"/>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 xml:space="preserve">部门（单位）：中国共产党天津市南开区纪律检查委员会（本级） </w:t>
            </w:r>
          </w:p>
        </w:tc>
        <w:tc>
          <w:tcPr>
            <w:tcW w:w="1589" w:type="dxa"/>
            <w:tcBorders>
              <w:top w:val="nil"/>
              <w:left w:val="nil"/>
              <w:bottom w:val="nil"/>
              <w:right w:val="nil"/>
            </w:tcBorders>
            <w:shd w:val="clear" w:color="auto" w:fill="auto"/>
            <w:noWrap/>
            <w:vAlign w:val="bottom"/>
          </w:tcPr>
          <w:p>
            <w:pPr>
              <w:widowControl/>
              <w:textAlignment w:val="bottom"/>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单位：元</w:t>
            </w:r>
          </w:p>
        </w:tc>
      </w:tr>
      <w:tr>
        <w:tblPrEx>
          <w:tblCellMar>
            <w:top w:w="0" w:type="dxa"/>
            <w:left w:w="108" w:type="dxa"/>
            <w:bottom w:w="0" w:type="dxa"/>
            <w:right w:w="108" w:type="dxa"/>
          </w:tblCellMar>
        </w:tblPrEx>
        <w:trPr>
          <w:trHeight w:val="308" w:hRule="atLeast"/>
        </w:trPr>
        <w:tc>
          <w:tcPr>
            <w:tcW w:w="397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项目</w:t>
            </w:r>
          </w:p>
        </w:tc>
        <w:tc>
          <w:tcPr>
            <w:tcW w:w="10017" w:type="dxa"/>
            <w:gridSpan w:val="6"/>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本年支出</w:t>
            </w:r>
          </w:p>
        </w:tc>
      </w:tr>
      <w:tr>
        <w:tblPrEx>
          <w:tblCellMar>
            <w:top w:w="0" w:type="dxa"/>
            <w:left w:w="108" w:type="dxa"/>
            <w:bottom w:w="0" w:type="dxa"/>
            <w:right w:w="108" w:type="dxa"/>
          </w:tblCellMar>
        </w:tblPrEx>
        <w:trPr>
          <w:trHeight w:val="308" w:hRule="atLeast"/>
        </w:trPr>
        <w:tc>
          <w:tcPr>
            <w:tcW w:w="1112" w:type="dxa"/>
            <w:tcBorders>
              <w:top w:val="nil"/>
              <w:left w:val="single" w:color="000000" w:sz="4" w:space="0"/>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科目编码</w:t>
            </w:r>
          </w:p>
        </w:tc>
        <w:tc>
          <w:tcPr>
            <w:tcW w:w="2862" w:type="dxa"/>
            <w:tcBorders>
              <w:top w:val="nil"/>
              <w:left w:val="nil"/>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科目名称（二级项目名称）</w:t>
            </w:r>
          </w:p>
        </w:tc>
        <w:tc>
          <w:tcPr>
            <w:tcW w:w="1738" w:type="dxa"/>
            <w:tcBorders>
              <w:top w:val="nil"/>
              <w:left w:val="nil"/>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合计</w:t>
            </w:r>
          </w:p>
        </w:tc>
        <w:tc>
          <w:tcPr>
            <w:tcW w:w="1616" w:type="dxa"/>
            <w:tcBorders>
              <w:top w:val="nil"/>
              <w:left w:val="nil"/>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一般公共预算</w:t>
            </w:r>
          </w:p>
        </w:tc>
        <w:tc>
          <w:tcPr>
            <w:tcW w:w="1707" w:type="dxa"/>
            <w:tcBorders>
              <w:top w:val="nil"/>
              <w:left w:val="nil"/>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政府性基金预算</w:t>
            </w:r>
          </w:p>
        </w:tc>
        <w:tc>
          <w:tcPr>
            <w:tcW w:w="1693" w:type="dxa"/>
            <w:tcBorders>
              <w:top w:val="nil"/>
              <w:left w:val="nil"/>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国有资本经营预算</w:t>
            </w:r>
          </w:p>
        </w:tc>
        <w:tc>
          <w:tcPr>
            <w:tcW w:w="1674" w:type="dxa"/>
            <w:tcBorders>
              <w:top w:val="nil"/>
              <w:left w:val="nil"/>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财政专户管理资金</w:t>
            </w:r>
          </w:p>
        </w:tc>
        <w:tc>
          <w:tcPr>
            <w:tcW w:w="1589" w:type="dxa"/>
            <w:tcBorders>
              <w:top w:val="nil"/>
              <w:left w:val="nil"/>
              <w:bottom w:val="nil"/>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单位资金</w:t>
            </w:r>
          </w:p>
        </w:tc>
      </w:tr>
      <w:tr>
        <w:tblPrEx>
          <w:tblCellMar>
            <w:top w:w="0" w:type="dxa"/>
            <w:left w:w="108" w:type="dxa"/>
            <w:bottom w:w="0" w:type="dxa"/>
            <w:right w:w="108" w:type="dxa"/>
          </w:tblCellMar>
        </w:tblPrEx>
        <w:trPr>
          <w:trHeight w:val="1180" w:hRule="atLeast"/>
        </w:trPr>
        <w:tc>
          <w:tcPr>
            <w:tcW w:w="397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合计</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5,979,358.04</w:t>
            </w:r>
          </w:p>
        </w:tc>
        <w:tc>
          <w:tcPr>
            <w:tcW w:w="16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5,979,358.04</w:t>
            </w:r>
          </w:p>
        </w:tc>
        <w:tc>
          <w:tcPr>
            <w:tcW w:w="17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22"/>
                <w:szCs w:val="22"/>
              </w:rPr>
            </w:pPr>
          </w:p>
        </w:tc>
        <w:tc>
          <w:tcPr>
            <w:tcW w:w="16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22"/>
                <w:szCs w:val="22"/>
              </w:rPr>
            </w:pPr>
          </w:p>
        </w:tc>
        <w:tc>
          <w:tcPr>
            <w:tcW w:w="16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22"/>
                <w:szCs w:val="22"/>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940" w:hRule="atLeast"/>
        </w:trPr>
        <w:tc>
          <w:tcPr>
            <w:tcW w:w="1112"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201</w:t>
            </w:r>
          </w:p>
        </w:tc>
        <w:tc>
          <w:tcPr>
            <w:tcW w:w="286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一般公共服务支出</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5,979,358.04</w:t>
            </w:r>
          </w:p>
        </w:tc>
        <w:tc>
          <w:tcPr>
            <w:tcW w:w="1616"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5,979,358.04</w:t>
            </w:r>
          </w:p>
        </w:tc>
        <w:tc>
          <w:tcPr>
            <w:tcW w:w="1707"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693"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674"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589"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940" w:hRule="atLeast"/>
        </w:trPr>
        <w:tc>
          <w:tcPr>
            <w:tcW w:w="1112"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20111</w:t>
            </w:r>
          </w:p>
        </w:tc>
        <w:tc>
          <w:tcPr>
            <w:tcW w:w="286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纪检监察事务</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5,979,358.04</w:t>
            </w:r>
          </w:p>
        </w:tc>
        <w:tc>
          <w:tcPr>
            <w:tcW w:w="1616"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5,979,358.04</w:t>
            </w:r>
          </w:p>
        </w:tc>
        <w:tc>
          <w:tcPr>
            <w:tcW w:w="1707"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693"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674"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589"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940" w:hRule="atLeast"/>
        </w:trPr>
        <w:tc>
          <w:tcPr>
            <w:tcW w:w="1112"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2011102</w:t>
            </w:r>
          </w:p>
        </w:tc>
        <w:tc>
          <w:tcPr>
            <w:tcW w:w="286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一般行政管理事务</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200,000.00</w:t>
            </w:r>
          </w:p>
        </w:tc>
        <w:tc>
          <w:tcPr>
            <w:tcW w:w="1616"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200,000.00</w:t>
            </w:r>
          </w:p>
        </w:tc>
        <w:tc>
          <w:tcPr>
            <w:tcW w:w="1707"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693"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674"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589"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940" w:hRule="atLeast"/>
        </w:trPr>
        <w:tc>
          <w:tcPr>
            <w:tcW w:w="1112"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2011199</w:t>
            </w:r>
          </w:p>
        </w:tc>
        <w:tc>
          <w:tcPr>
            <w:tcW w:w="286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其他纪检监察事务支出</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5,779,358.04</w:t>
            </w:r>
          </w:p>
        </w:tc>
        <w:tc>
          <w:tcPr>
            <w:tcW w:w="1616"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5,779,358.04</w:t>
            </w:r>
          </w:p>
        </w:tc>
        <w:tc>
          <w:tcPr>
            <w:tcW w:w="1707"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693"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674"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589"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940" w:hRule="atLeast"/>
        </w:trPr>
        <w:tc>
          <w:tcPr>
            <w:tcW w:w="1112"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2011199</w:t>
            </w:r>
          </w:p>
        </w:tc>
        <w:tc>
          <w:tcPr>
            <w:tcW w:w="286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信息化系统维护费</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200,000.00</w:t>
            </w:r>
          </w:p>
        </w:tc>
        <w:tc>
          <w:tcPr>
            <w:tcW w:w="1616"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200,000.00</w:t>
            </w:r>
          </w:p>
        </w:tc>
        <w:tc>
          <w:tcPr>
            <w:tcW w:w="1707"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693"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674"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589"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940" w:hRule="atLeast"/>
        </w:trPr>
        <w:tc>
          <w:tcPr>
            <w:tcW w:w="1112"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2011199</w:t>
            </w:r>
          </w:p>
        </w:tc>
        <w:tc>
          <w:tcPr>
            <w:tcW w:w="286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派驻机构运行费</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734,251.64</w:t>
            </w:r>
          </w:p>
        </w:tc>
        <w:tc>
          <w:tcPr>
            <w:tcW w:w="1616"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734,251.64</w:t>
            </w:r>
          </w:p>
        </w:tc>
        <w:tc>
          <w:tcPr>
            <w:tcW w:w="1707"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693"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674"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589"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940" w:hRule="atLeast"/>
        </w:trPr>
        <w:tc>
          <w:tcPr>
            <w:tcW w:w="1112"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2011199</w:t>
            </w:r>
          </w:p>
        </w:tc>
        <w:tc>
          <w:tcPr>
            <w:tcW w:w="286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物业安保服务费</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929,794.44</w:t>
            </w:r>
          </w:p>
        </w:tc>
        <w:tc>
          <w:tcPr>
            <w:tcW w:w="1616"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929,794.44</w:t>
            </w:r>
          </w:p>
        </w:tc>
        <w:tc>
          <w:tcPr>
            <w:tcW w:w="1707"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693"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674"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589"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940" w:hRule="atLeast"/>
        </w:trPr>
        <w:tc>
          <w:tcPr>
            <w:tcW w:w="1112"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2011199</w:t>
            </w:r>
          </w:p>
        </w:tc>
        <w:tc>
          <w:tcPr>
            <w:tcW w:w="286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运行维护费</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1,800,000.00</w:t>
            </w:r>
          </w:p>
        </w:tc>
        <w:tc>
          <w:tcPr>
            <w:tcW w:w="1616"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1,800,000.00</w:t>
            </w:r>
          </w:p>
        </w:tc>
        <w:tc>
          <w:tcPr>
            <w:tcW w:w="1707"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693"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674"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589"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940" w:hRule="atLeast"/>
        </w:trPr>
        <w:tc>
          <w:tcPr>
            <w:tcW w:w="1112"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2011199</w:t>
            </w:r>
          </w:p>
        </w:tc>
        <w:tc>
          <w:tcPr>
            <w:tcW w:w="286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伙食费</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435,000.00</w:t>
            </w:r>
          </w:p>
        </w:tc>
        <w:tc>
          <w:tcPr>
            <w:tcW w:w="1616"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435,000.00</w:t>
            </w:r>
          </w:p>
        </w:tc>
        <w:tc>
          <w:tcPr>
            <w:tcW w:w="1707"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693"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674"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589"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940" w:hRule="atLeast"/>
        </w:trPr>
        <w:tc>
          <w:tcPr>
            <w:tcW w:w="1112" w:type="dxa"/>
            <w:tcBorders>
              <w:top w:val="nil"/>
              <w:left w:val="single" w:color="000000" w:sz="4" w:space="0"/>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2011199</w:t>
            </w:r>
          </w:p>
        </w:tc>
        <w:tc>
          <w:tcPr>
            <w:tcW w:w="2862" w:type="dxa"/>
            <w:tcBorders>
              <w:top w:val="nil"/>
              <w:left w:val="nil"/>
              <w:bottom w:val="single" w:color="000000" w:sz="4" w:space="0"/>
              <w:right w:val="single" w:color="000000" w:sz="4" w:space="0"/>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运行维护费追加</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1,071,311.96</w:t>
            </w:r>
          </w:p>
        </w:tc>
        <w:tc>
          <w:tcPr>
            <w:tcW w:w="1616"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1,071,311.96</w:t>
            </w:r>
          </w:p>
        </w:tc>
        <w:tc>
          <w:tcPr>
            <w:tcW w:w="1707"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693"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674"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c>
          <w:tcPr>
            <w:tcW w:w="1589" w:type="dxa"/>
            <w:tcBorders>
              <w:top w:val="nil"/>
              <w:left w:val="single" w:color="000000" w:sz="4" w:space="0"/>
              <w:bottom w:val="single" w:color="000000" w:sz="4" w:space="0"/>
              <w:right w:val="single" w:color="000000" w:sz="4" w:space="0"/>
            </w:tcBorders>
            <w:shd w:val="clear" w:color="auto" w:fill="auto"/>
            <w:vAlign w:val="center"/>
          </w:tcPr>
          <w:p>
            <w:pPr>
              <w:widowControl/>
              <w:textAlignment w:val="center"/>
              <w:rPr>
                <w:rFonts w:asciiTheme="minorEastAsia" w:hAnsiTheme="minorEastAsia" w:cstheme="minorEastAsia"/>
                <w:color w:val="000000"/>
                <w:sz w:val="22"/>
                <w:szCs w:val="22"/>
              </w:rPr>
            </w:pPr>
          </w:p>
        </w:tc>
      </w:tr>
      <w:tr>
        <w:tblPrEx>
          <w:tblCellMar>
            <w:top w:w="0" w:type="dxa"/>
            <w:left w:w="108" w:type="dxa"/>
            <w:bottom w:w="0" w:type="dxa"/>
            <w:right w:w="108" w:type="dxa"/>
          </w:tblCellMar>
        </w:tblPrEx>
        <w:trPr>
          <w:trHeight w:val="308" w:hRule="atLeast"/>
        </w:trPr>
        <w:tc>
          <w:tcPr>
            <w:tcW w:w="13991" w:type="dxa"/>
            <w:gridSpan w:val="8"/>
            <w:tcBorders>
              <w:top w:val="nil"/>
              <w:left w:val="nil"/>
              <w:bottom w:val="nil"/>
              <w:right w:val="nil"/>
            </w:tcBorders>
            <w:shd w:val="clear" w:color="auto" w:fill="auto"/>
            <w:noWrap/>
            <w:vAlign w:val="center"/>
          </w:tcPr>
          <w:p>
            <w:pPr>
              <w:widowControl/>
              <w:textAlignment w:val="center"/>
              <w:rPr>
                <w:rFonts w:asciiTheme="minorEastAsia" w:hAnsiTheme="minorEastAsia" w:cstheme="minorEastAsia"/>
                <w:color w:val="000000"/>
                <w:sz w:val="22"/>
                <w:szCs w:val="22"/>
              </w:rPr>
            </w:pPr>
            <w:r>
              <w:rPr>
                <w:rFonts w:hint="eastAsia" w:asciiTheme="minorEastAsia" w:hAnsiTheme="minorEastAsia" w:cstheme="minorEastAsia"/>
                <w:color w:val="000000"/>
                <w:sz w:val="22"/>
                <w:szCs w:val="22"/>
              </w:rPr>
              <w:t>注：本表反映本年度项目支出决算情况，其中支出数包括当年预算资金和以前年度结转资金安排的合计实际支出。</w:t>
            </w:r>
          </w:p>
        </w:tc>
      </w:tr>
    </w:tbl>
    <w:p>
      <w:pPr>
        <w:rPr>
          <w:rFonts w:asciiTheme="minorEastAsia" w:hAnsiTheme="minorEastAsia" w:cstheme="minorEastAsia"/>
          <w:sz w:val="22"/>
          <w:szCs w:val="22"/>
        </w:rPr>
      </w:pPr>
    </w:p>
    <w:p>
      <w:pPr>
        <w:rPr>
          <w:rFonts w:asciiTheme="minorEastAsia" w:hAnsiTheme="minorEastAsia" w:cstheme="minorEastAsia"/>
          <w:sz w:val="22"/>
          <w:szCs w:val="22"/>
        </w:rPr>
        <w:sectPr>
          <w:pgSz w:w="16838" w:h="11906" w:orient="landscape"/>
          <w:pgMar w:top="2098" w:right="1531" w:bottom="1984" w:left="1531" w:header="851" w:footer="992" w:gutter="0"/>
          <w:cols w:space="720" w:num="1"/>
          <w:docGrid w:type="lines" w:linePitch="312" w:charSpace="0"/>
        </w:sectPr>
      </w:pPr>
    </w:p>
    <w:p>
      <w:pPr>
        <w:widowControl/>
        <w:spacing w:line="360" w:lineRule="auto"/>
        <w:outlineLvl w:val="0"/>
        <w:rPr>
          <w:rFonts w:ascii="黑体" w:eastAsia="黑体"/>
          <w:sz w:val="44"/>
          <w:szCs w:val="44"/>
        </w:rPr>
      </w:pPr>
      <w:r>
        <w:rPr>
          <w:rFonts w:ascii="黑体" w:eastAsia="黑体"/>
          <w:sz w:val="44"/>
          <w:szCs w:val="44"/>
        </w:rPr>
        <w:t>第三部分  2024年度部门决算情况说明</w:t>
      </w:r>
    </w:p>
    <w:p>
      <w:pPr>
        <w:widowControl/>
        <w:spacing w:line="360" w:lineRule="auto"/>
        <w:ind w:firstLine="602" w:firstLineChars="200"/>
        <w:outlineLvl w:val="1"/>
        <w:rPr>
          <w:rFonts w:ascii="宋体" w:eastAsia="黑体"/>
          <w:sz w:val="30"/>
          <w:szCs w:val="30"/>
        </w:rPr>
      </w:pPr>
      <w:r>
        <w:rPr>
          <w:rFonts w:ascii="宋体" w:eastAsia="黑体"/>
          <w:b/>
          <w:sz w:val="30"/>
          <w:szCs w:val="30"/>
        </w:rPr>
        <w:t>一、收入支出决算总体情况说明</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中国共产党天津市南开区纪律检查委员会（本级）2024年度收入、支出决算总计43,529,130.07元。与2023年度相比，收、支总计各增加3,049,306.28元，增长7.533%，主要原因是</w:t>
      </w:r>
      <w:r>
        <w:rPr>
          <w:rFonts w:hint="eastAsia" w:ascii="Times New Roman" w:eastAsia="仿宋_GB2312"/>
          <w:sz w:val="30"/>
          <w:szCs w:val="30"/>
        </w:rPr>
        <w:t>2024年度项目收支增加</w:t>
      </w:r>
      <w:r>
        <w:rPr>
          <w:rFonts w:ascii="Times New Roman" w:eastAsia="仿宋_GB2312"/>
          <w:sz w:val="30"/>
          <w:szCs w:val="30"/>
        </w:rPr>
        <w:t>。</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收入包括：一般公共预算财政拨款收入43,529,130.07元。</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支出包括：一般公共服务支出37,908,140.94元、社会保障和就业支出3,747,321.38元、卫生健康支出1,873,667.75元。</w:t>
      </w:r>
    </w:p>
    <w:p>
      <w:pPr>
        <w:widowControl/>
        <w:spacing w:line="360" w:lineRule="auto"/>
        <w:ind w:firstLine="602" w:firstLineChars="200"/>
        <w:outlineLvl w:val="1"/>
        <w:rPr>
          <w:rFonts w:ascii="宋体" w:eastAsia="黑体"/>
          <w:sz w:val="30"/>
          <w:szCs w:val="30"/>
        </w:rPr>
      </w:pPr>
      <w:r>
        <w:rPr>
          <w:rFonts w:ascii="宋体" w:eastAsia="黑体"/>
          <w:b/>
          <w:sz w:val="30"/>
          <w:szCs w:val="30"/>
        </w:rPr>
        <w:t>二、收入决算情况说明</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中国共产党天津市南开区纪律检查委员会（本级）2024年度本年收入合计43,529,130.07元，与2023年度相比增加3,049,306.28元，主要原因是</w:t>
      </w:r>
      <w:r>
        <w:rPr>
          <w:rFonts w:hint="eastAsia" w:ascii="Times New Roman" w:eastAsia="仿宋_GB2312"/>
          <w:sz w:val="30"/>
          <w:szCs w:val="30"/>
        </w:rPr>
        <w:t>2024年度项目收入增加</w:t>
      </w:r>
      <w:r>
        <w:rPr>
          <w:rFonts w:ascii="Times New Roman" w:eastAsia="仿宋_GB2312"/>
          <w:sz w:val="30"/>
          <w:szCs w:val="30"/>
        </w:rPr>
        <w:t>。其中：</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一般公共预算财政拨款收入43,529,130.07元，占100.000%。</w:t>
      </w:r>
    </w:p>
    <w:p>
      <w:pPr>
        <w:widowControl/>
        <w:spacing w:line="360" w:lineRule="auto"/>
        <w:ind w:firstLine="602" w:firstLineChars="200"/>
        <w:outlineLvl w:val="1"/>
        <w:rPr>
          <w:rFonts w:ascii="宋体" w:eastAsia="黑体"/>
          <w:sz w:val="30"/>
          <w:szCs w:val="30"/>
        </w:rPr>
      </w:pPr>
      <w:r>
        <w:rPr>
          <w:rFonts w:ascii="宋体" w:eastAsia="黑体"/>
          <w:b/>
          <w:sz w:val="30"/>
          <w:szCs w:val="30"/>
        </w:rPr>
        <w:t>三、支出决算情况说明</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中国共产党天津市南开区纪律检查委员会（本级）2024年度本年支出合计43,529,130.07元，与2023年度相比增加3,049,651.34元，主要原因是</w:t>
      </w:r>
      <w:r>
        <w:rPr>
          <w:rFonts w:hint="eastAsia" w:ascii="Times New Roman" w:eastAsia="仿宋_GB2312"/>
          <w:sz w:val="30"/>
          <w:szCs w:val="30"/>
        </w:rPr>
        <w:t>2024年度项目支出增加</w:t>
      </w:r>
      <w:r>
        <w:rPr>
          <w:rFonts w:ascii="Times New Roman" w:eastAsia="仿宋_GB2312"/>
          <w:sz w:val="30"/>
          <w:szCs w:val="30"/>
        </w:rPr>
        <w:t>。其中：</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基本支出37,549,772.03元，占86.264%；项目支出5,979,358.04元，占13.736%。</w:t>
      </w:r>
    </w:p>
    <w:p>
      <w:pPr>
        <w:widowControl/>
        <w:spacing w:line="360" w:lineRule="auto"/>
        <w:ind w:firstLine="602" w:firstLineChars="200"/>
        <w:outlineLvl w:val="1"/>
        <w:rPr>
          <w:rFonts w:ascii="宋体" w:eastAsia="黑体"/>
          <w:sz w:val="30"/>
          <w:szCs w:val="30"/>
        </w:rPr>
      </w:pPr>
      <w:r>
        <w:rPr>
          <w:rFonts w:ascii="宋体" w:eastAsia="黑体"/>
          <w:b/>
          <w:sz w:val="30"/>
          <w:szCs w:val="30"/>
        </w:rPr>
        <w:t>四、财政拨款收支决算总体情况说明</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中国共产党天津市南开区纪律检查委员会（本级）2024年度财政拨款收入、支出决算总计43,529,130.07元。与2023年度相比，财政拨款收、支总计各增加3,049,651.34元，增长7.534%，主要原因是</w:t>
      </w:r>
      <w:r>
        <w:rPr>
          <w:rFonts w:hint="eastAsia" w:ascii="Times New Roman" w:eastAsia="仿宋_GB2312"/>
          <w:sz w:val="30"/>
          <w:szCs w:val="30"/>
        </w:rPr>
        <w:t>2024年度项目收支增加</w:t>
      </w:r>
      <w:r>
        <w:rPr>
          <w:rFonts w:ascii="Times New Roman" w:eastAsia="仿宋_GB2312"/>
          <w:sz w:val="30"/>
          <w:szCs w:val="30"/>
        </w:rPr>
        <w:t>。</w:t>
      </w:r>
    </w:p>
    <w:p>
      <w:pPr>
        <w:widowControl/>
        <w:spacing w:line="360" w:lineRule="auto"/>
        <w:ind w:firstLine="600" w:firstLineChars="200"/>
        <w:outlineLvl w:val="1"/>
        <w:rPr>
          <w:rFonts w:ascii="Times New Roman" w:eastAsia="仿宋_GB2312"/>
          <w:sz w:val="30"/>
          <w:szCs w:val="30"/>
        </w:rPr>
      </w:pPr>
      <w:r>
        <w:rPr>
          <w:rFonts w:ascii="Times New Roman" w:eastAsia="仿宋_GB2312"/>
          <w:sz w:val="30"/>
          <w:szCs w:val="30"/>
        </w:rPr>
        <w:t>收入包括：一般公共预算财政拨款43,529,130.07元。</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支出包括：一般公共服务支出37,908,140.94元、社会保障和就业支出3,747,321.38元、卫生健康支出1,873,667.75元。</w:t>
      </w:r>
    </w:p>
    <w:p>
      <w:pPr>
        <w:widowControl/>
        <w:spacing w:line="360" w:lineRule="auto"/>
        <w:ind w:firstLine="602" w:firstLineChars="200"/>
        <w:outlineLvl w:val="1"/>
        <w:rPr>
          <w:rFonts w:ascii="宋体" w:eastAsia="黑体"/>
          <w:sz w:val="30"/>
          <w:szCs w:val="30"/>
        </w:rPr>
      </w:pPr>
      <w:r>
        <w:rPr>
          <w:rFonts w:ascii="宋体" w:eastAsia="黑体"/>
          <w:b/>
          <w:sz w:val="30"/>
          <w:szCs w:val="30"/>
        </w:rPr>
        <w:t>五、一般公共预算财政拨款支出决算情况说明</w:t>
      </w:r>
    </w:p>
    <w:p>
      <w:pPr>
        <w:widowControl/>
        <w:spacing w:line="360" w:lineRule="auto"/>
        <w:ind w:firstLine="602" w:firstLineChars="200"/>
        <w:rPr>
          <w:rFonts w:ascii="楷体" w:eastAsia="楷体"/>
          <w:sz w:val="30"/>
          <w:szCs w:val="30"/>
        </w:rPr>
      </w:pPr>
      <w:r>
        <w:rPr>
          <w:rFonts w:ascii="楷体" w:eastAsia="楷体"/>
          <w:b/>
          <w:sz w:val="30"/>
          <w:szCs w:val="30"/>
        </w:rPr>
        <w:t>（一）总体情况</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中国共产党天津市南开区纪律检查委员会（本级）2024年度部门决算一般公共预算财政拨款支出合计43,529,130.07元，占本年支出合计的100.000%。与2023年度相比，一般公共预算财政拨款支出增加3,049,651.34元，增长7.534%，主要原因是</w:t>
      </w:r>
      <w:r>
        <w:rPr>
          <w:rFonts w:hint="eastAsia" w:ascii="Times New Roman" w:eastAsia="仿宋_GB2312"/>
          <w:sz w:val="30"/>
          <w:szCs w:val="30"/>
        </w:rPr>
        <w:t>2024年度项目支出增加</w:t>
      </w:r>
      <w:r>
        <w:rPr>
          <w:rFonts w:ascii="Times New Roman" w:eastAsia="仿宋_GB2312"/>
          <w:sz w:val="30"/>
          <w:szCs w:val="30"/>
        </w:rPr>
        <w:t>。</w:t>
      </w:r>
    </w:p>
    <w:p>
      <w:pPr>
        <w:widowControl/>
        <w:spacing w:line="360" w:lineRule="auto"/>
        <w:ind w:firstLine="602" w:firstLineChars="200"/>
        <w:rPr>
          <w:rFonts w:ascii="楷体" w:eastAsia="楷体"/>
          <w:sz w:val="30"/>
          <w:szCs w:val="30"/>
        </w:rPr>
      </w:pPr>
      <w:r>
        <w:rPr>
          <w:rFonts w:ascii="楷体" w:eastAsia="楷体"/>
          <w:b/>
          <w:sz w:val="30"/>
          <w:szCs w:val="30"/>
        </w:rPr>
        <w:t>（二）支出结构情况</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2024年度一般公共预算财政拨款支出43,529,130.07元，主要用于以下方面：一般公共服务支出（类）37,908,140.94元，占87.087%；社会保障和就业支出（类）3,747,321.38元，占8.609%；卫生健康支出（类）1,873,667.75元，占4.304%。</w:t>
      </w:r>
    </w:p>
    <w:p>
      <w:pPr>
        <w:widowControl/>
        <w:spacing w:line="360" w:lineRule="auto"/>
        <w:ind w:firstLine="602" w:firstLineChars="200"/>
        <w:rPr>
          <w:rFonts w:ascii="楷体" w:eastAsia="楷体"/>
          <w:sz w:val="30"/>
          <w:szCs w:val="30"/>
        </w:rPr>
      </w:pPr>
      <w:r>
        <w:rPr>
          <w:rFonts w:ascii="楷体" w:eastAsia="楷体"/>
          <w:b/>
          <w:sz w:val="30"/>
          <w:szCs w:val="30"/>
        </w:rPr>
        <w:t>（三）具体情况</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2024年度一般公共预算财政拨款支出年初预算为35,297,264.64元，支出决算为43,529,130.07元，完成年初预算的123.322%。其中： </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1.​一般公共服务支出(类)纪检监察事务(款)行政运行(项)年初预算为27,362,538.16元，支出决算为31,928,782.90元，完成年初预算的116.688%，决算数大于年初预算数的主要原因是：</w:t>
      </w:r>
      <w:r>
        <w:rPr>
          <w:rFonts w:hint="eastAsia" w:ascii="Times New Roman" w:hAnsi="Times New Roman" w:eastAsia="仿宋_GB2312" w:cs="仿宋_GB2312"/>
          <w:sz w:val="30"/>
          <w:szCs w:val="30"/>
        </w:rPr>
        <w:t>人员增加，导致支出增加</w:t>
      </w:r>
      <w:r>
        <w:rPr>
          <w:rFonts w:ascii="Times New Roman" w:eastAsia="仿宋_GB2312"/>
          <w:sz w:val="30"/>
          <w:szCs w:val="30"/>
        </w:rPr>
        <w:t>。</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2.​一般公共服务支出(类)纪检监察事务(款)一般行政管理事务(项)年初预算为0.00元，支出决算为200,000.00元，决算数大于年初预算数的主要原因是：</w:t>
      </w:r>
      <w:r>
        <w:rPr>
          <w:rFonts w:hint="eastAsia" w:ascii="Times New Roman" w:eastAsia="仿宋_GB2312"/>
          <w:sz w:val="30"/>
          <w:szCs w:val="30"/>
        </w:rPr>
        <w:t>工作需要，追加项目经费</w:t>
      </w:r>
      <w:r>
        <w:rPr>
          <w:rFonts w:ascii="Times New Roman" w:eastAsia="仿宋_GB2312"/>
          <w:sz w:val="30"/>
          <w:szCs w:val="30"/>
        </w:rPr>
        <w:t>。</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3.​一般公共服务支出(类)纪检监察事务(款)其他纪检监察事务支出(项)年初预算为2,435,000.00元，支出决算为5,779,358.04元，完成年初预算的237.345%，决算数大于年初预算数的主要原因是：</w:t>
      </w:r>
      <w:r>
        <w:rPr>
          <w:rFonts w:hint="eastAsia" w:ascii="Times New Roman" w:eastAsia="仿宋_GB2312"/>
          <w:sz w:val="30"/>
          <w:szCs w:val="30"/>
        </w:rPr>
        <w:t>工作需要，追加项目经费</w:t>
      </w:r>
      <w:r>
        <w:rPr>
          <w:rFonts w:ascii="Times New Roman" w:eastAsia="仿宋_GB2312"/>
          <w:sz w:val="30"/>
          <w:szCs w:val="30"/>
        </w:rPr>
        <w:t>。</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4.​社会保障和就业支出(类)行政事业单位养老支出(款)机关事业单位基本养老保险缴费支出(项)年初预算为2,444,322.88元，支出决算为2,498,236.58元，完成年初预算的102.206%，决算数大于年初预算数的主要原因是：</w:t>
      </w:r>
      <w:r>
        <w:rPr>
          <w:rFonts w:hint="eastAsia" w:ascii="Times New Roman" w:hAnsi="Times New Roman" w:eastAsia="仿宋_GB2312" w:cs="仿宋_GB2312"/>
          <w:sz w:val="30"/>
          <w:szCs w:val="30"/>
        </w:rPr>
        <w:t>人员增加，导致支出增加</w:t>
      </w:r>
      <w:r>
        <w:rPr>
          <w:rFonts w:ascii="Times New Roman" w:eastAsia="仿宋_GB2312"/>
          <w:sz w:val="30"/>
          <w:szCs w:val="30"/>
        </w:rPr>
        <w:t>。</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5.​社会保障和就业支出(类)行政事业单位养老支出(款)机关事业单位职业年金缴费支出(项)年初预算为1,222,161.44元，支出决算为1,249,084.80元，完成年初预算的102.203%，决算数大于年初预算数的主要原因是：</w:t>
      </w:r>
      <w:r>
        <w:rPr>
          <w:rFonts w:hint="eastAsia" w:ascii="Times New Roman" w:hAnsi="Times New Roman" w:eastAsia="仿宋_GB2312" w:cs="仿宋_GB2312"/>
          <w:sz w:val="30"/>
          <w:szCs w:val="30"/>
        </w:rPr>
        <w:t>人员增加，导致支出增加</w:t>
      </w:r>
      <w:r>
        <w:rPr>
          <w:rFonts w:ascii="Times New Roman" w:eastAsia="仿宋_GB2312"/>
          <w:sz w:val="30"/>
          <w:szCs w:val="30"/>
        </w:rPr>
        <w:t>。</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6.​卫生健康支出(类)行政事业单位医疗(款)行政单位医疗(项)年初预算为1,527,701.80元，支出决算为1,561,396.55元，完成年初预算的102.206%，决算数大于年初预算数的主要原因是：</w:t>
      </w:r>
      <w:r>
        <w:rPr>
          <w:rFonts w:hint="eastAsia" w:ascii="Times New Roman" w:hAnsi="Times New Roman" w:eastAsia="仿宋_GB2312" w:cs="仿宋_GB2312"/>
          <w:sz w:val="30"/>
          <w:szCs w:val="30"/>
        </w:rPr>
        <w:t>人员增加，导致支出增加</w:t>
      </w:r>
      <w:r>
        <w:rPr>
          <w:rFonts w:ascii="Times New Roman" w:eastAsia="仿宋_GB2312"/>
          <w:sz w:val="30"/>
          <w:szCs w:val="30"/>
        </w:rPr>
        <w:t>。</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7.​卫生健康支出(类)行政事业单位医疗(款)公务员医疗补助(项)年初预算为305,540.36元，支出决算为312,271.20元，完成年初预算的102.203%，决算数大于年初预算数的主要原因是：</w:t>
      </w:r>
      <w:r>
        <w:rPr>
          <w:rFonts w:hint="eastAsia" w:ascii="Times New Roman" w:hAnsi="Times New Roman" w:eastAsia="仿宋_GB2312" w:cs="仿宋_GB2312"/>
          <w:sz w:val="30"/>
          <w:szCs w:val="30"/>
        </w:rPr>
        <w:t>人员增加，导致支出增加</w:t>
      </w:r>
      <w:r>
        <w:rPr>
          <w:rFonts w:ascii="Times New Roman" w:eastAsia="仿宋_GB2312"/>
          <w:sz w:val="30"/>
          <w:szCs w:val="30"/>
        </w:rPr>
        <w:t>。</w:t>
      </w:r>
    </w:p>
    <w:p>
      <w:pPr>
        <w:widowControl/>
        <w:spacing w:line="360" w:lineRule="auto"/>
        <w:ind w:firstLine="602" w:firstLineChars="200"/>
        <w:outlineLvl w:val="1"/>
        <w:rPr>
          <w:rFonts w:ascii="宋体" w:eastAsia="黑体"/>
          <w:sz w:val="30"/>
          <w:szCs w:val="30"/>
        </w:rPr>
      </w:pPr>
      <w:r>
        <w:rPr>
          <w:rFonts w:ascii="宋体" w:eastAsia="黑体"/>
          <w:b/>
          <w:sz w:val="30"/>
          <w:szCs w:val="30"/>
        </w:rPr>
        <w:t>六、一般公共预算财政拨款基本支出决算情况说明</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中国共产党天津市南开区纪律检查委员会（本级）2024年度部门决算一般公共预算财政拨款基本支出合计37,549,772.03元，与2023年度相比减少565,886.03元，主要原因是</w:t>
      </w:r>
      <w:r>
        <w:rPr>
          <w:rFonts w:hint="eastAsia" w:ascii="Times New Roman" w:eastAsia="仿宋_GB2312"/>
          <w:sz w:val="30"/>
          <w:szCs w:val="30"/>
        </w:rPr>
        <w:t>厉行节约，压缩公用经费开支</w:t>
      </w:r>
      <w:r>
        <w:rPr>
          <w:rFonts w:ascii="Times New Roman" w:eastAsia="仿宋_GB2312"/>
          <w:sz w:val="30"/>
          <w:szCs w:val="30"/>
        </w:rPr>
        <w:t>。其中：</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人员经费35,457,726.55元，主要包括基本工资、津贴补贴、奖金、机关事业单位基本养老保险缴费、职业年金缴费、职工基本医疗保险缴费、公务员医疗补助缴费、其他社会保障缴费、住房公积金、其他工资福利支出、退休费和奖励金。</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公用经费2,092,045.48元，主要包括办公费、印刷费、手续费、邮电费、差旅费、维修(护)费、培训费、公务接待费、工会经费、福利费、公务用车运行维护费、其他交通费用、其他商品和服务支出、办公设备购置和无形资产购置。</w:t>
      </w:r>
    </w:p>
    <w:p>
      <w:pPr>
        <w:widowControl/>
        <w:spacing w:line="360" w:lineRule="auto"/>
        <w:ind w:firstLine="602" w:firstLineChars="200"/>
        <w:outlineLvl w:val="1"/>
        <w:rPr>
          <w:rFonts w:ascii="宋体" w:eastAsia="黑体"/>
          <w:sz w:val="30"/>
          <w:szCs w:val="30"/>
        </w:rPr>
      </w:pPr>
      <w:r>
        <w:rPr>
          <w:rFonts w:ascii="宋体" w:eastAsia="黑体"/>
          <w:b/>
          <w:sz w:val="30"/>
          <w:szCs w:val="30"/>
        </w:rPr>
        <w:t>七、政府性基金预算财政拨款收支决算情况说明</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中国共产党天津市南开区纪律检查委员会（本级）2024年度无政府性基金预算财政拨款收入、支出和结转结余。</w:t>
      </w:r>
    </w:p>
    <w:p>
      <w:pPr>
        <w:widowControl/>
        <w:spacing w:line="360" w:lineRule="auto"/>
        <w:ind w:firstLine="602" w:firstLineChars="200"/>
        <w:outlineLvl w:val="1"/>
        <w:rPr>
          <w:rFonts w:ascii="宋体" w:eastAsia="黑体"/>
          <w:sz w:val="30"/>
          <w:szCs w:val="30"/>
        </w:rPr>
      </w:pPr>
      <w:r>
        <w:rPr>
          <w:rFonts w:ascii="宋体" w:eastAsia="黑体"/>
          <w:b/>
          <w:sz w:val="30"/>
          <w:szCs w:val="30"/>
        </w:rPr>
        <w:t>八、国有资本经营预算财政拨款收支决算情况说明</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中国共产党天津市南开区纪律检查委员会（本级）2024年度无国有资本经营预算财政拨款收入、支出和结转结余。</w:t>
      </w:r>
    </w:p>
    <w:p>
      <w:pPr>
        <w:widowControl/>
        <w:spacing w:line="360" w:lineRule="auto"/>
        <w:ind w:firstLine="602" w:firstLineChars="200"/>
        <w:outlineLvl w:val="1"/>
        <w:rPr>
          <w:rFonts w:ascii="宋体" w:eastAsia="黑体"/>
          <w:sz w:val="30"/>
          <w:szCs w:val="30"/>
        </w:rPr>
      </w:pPr>
      <w:r>
        <w:rPr>
          <w:rFonts w:ascii="宋体" w:eastAsia="黑体"/>
          <w:b/>
          <w:sz w:val="30"/>
          <w:szCs w:val="30"/>
        </w:rPr>
        <w:t>九、财政拨款“三公”经费支出决算情况说明</w:t>
      </w:r>
    </w:p>
    <w:p>
      <w:pPr>
        <w:widowControl/>
        <w:spacing w:line="360" w:lineRule="auto"/>
        <w:ind w:firstLine="602" w:firstLineChars="200"/>
        <w:rPr>
          <w:rFonts w:ascii="楷体" w:eastAsia="楷体"/>
          <w:sz w:val="30"/>
          <w:szCs w:val="30"/>
        </w:rPr>
      </w:pPr>
      <w:r>
        <w:rPr>
          <w:rFonts w:ascii="楷体" w:eastAsia="楷体"/>
          <w:b/>
          <w:sz w:val="30"/>
          <w:szCs w:val="30"/>
        </w:rPr>
        <w:t>（一）总体情况</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2024年财政拨款“三公”经费预算50,504.57元，支出决算50,504.57元，与2024年预算相比持平，完成预算的100.000%；支出决算较上年增加2,478.86元，增长5.162%。决算数与预算数持平的主要原因是</w:t>
      </w:r>
      <w:r>
        <w:rPr>
          <w:rFonts w:hint="eastAsia" w:ascii="Times New Roman" w:eastAsia="仿宋_GB2312"/>
          <w:sz w:val="30"/>
          <w:szCs w:val="30"/>
        </w:rPr>
        <w:t>严格按照预算批复执行</w:t>
      </w:r>
      <w:r>
        <w:rPr>
          <w:rFonts w:ascii="Times New Roman" w:eastAsia="仿宋_GB2312"/>
          <w:sz w:val="30"/>
          <w:szCs w:val="30"/>
        </w:rPr>
        <w:t>；决算数较上年增加的主要原因是</w:t>
      </w:r>
      <w:r>
        <w:rPr>
          <w:rFonts w:hint="eastAsia" w:ascii="Times New Roman" w:eastAsia="仿宋_GB2312"/>
          <w:sz w:val="30"/>
          <w:szCs w:val="30"/>
        </w:rPr>
        <w:t>公务用车年限较长，使用成本增加</w:t>
      </w:r>
      <w:r>
        <w:rPr>
          <w:rFonts w:ascii="Times New Roman" w:eastAsia="仿宋_GB2312"/>
          <w:sz w:val="30"/>
          <w:szCs w:val="30"/>
        </w:rPr>
        <w:t>。</w:t>
      </w:r>
    </w:p>
    <w:p>
      <w:pPr>
        <w:widowControl/>
        <w:spacing w:line="360" w:lineRule="auto"/>
        <w:ind w:firstLine="602" w:firstLineChars="200"/>
        <w:rPr>
          <w:rFonts w:ascii="楷体" w:eastAsia="楷体"/>
          <w:sz w:val="30"/>
          <w:szCs w:val="30"/>
        </w:rPr>
      </w:pPr>
      <w:r>
        <w:rPr>
          <w:rFonts w:ascii="楷体" w:eastAsia="楷体"/>
          <w:b/>
          <w:sz w:val="30"/>
          <w:szCs w:val="30"/>
        </w:rPr>
        <w:t>（二）具体情况</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1.因公出国（境）费预算0.00元，支出决算0.00元，与预算相比持平；支出决算较上年持平；决算数与预算数持平的主要原因是</w:t>
      </w:r>
      <w:r>
        <w:rPr>
          <w:rFonts w:hint="eastAsia" w:ascii="Times New Roman" w:hAnsi="Times New Roman" w:eastAsia="仿宋_GB2312" w:cs="仿宋_GB2312"/>
          <w:sz w:val="30"/>
          <w:szCs w:val="30"/>
        </w:rPr>
        <w:t>本年度未用财政拨款经费列支因公出国（境）费</w:t>
      </w:r>
      <w:r>
        <w:rPr>
          <w:rFonts w:ascii="Times New Roman" w:eastAsia="仿宋_GB2312"/>
          <w:sz w:val="30"/>
          <w:szCs w:val="30"/>
        </w:rPr>
        <w:t>；决算数较上年持平的主要原因是</w:t>
      </w:r>
      <w:r>
        <w:rPr>
          <w:rFonts w:hint="eastAsia" w:ascii="Times New Roman" w:hAnsi="Times New Roman" w:eastAsia="仿宋_GB2312" w:cs="仿宋_GB2312"/>
          <w:sz w:val="30"/>
          <w:szCs w:val="30"/>
        </w:rPr>
        <w:t>本年度未用财政拨款经费列支因公出国（境）费</w:t>
      </w:r>
      <w:r>
        <w:rPr>
          <w:rFonts w:ascii="Times New Roman" w:eastAsia="仿宋_GB2312"/>
          <w:sz w:val="30"/>
          <w:szCs w:val="30"/>
        </w:rPr>
        <w:t>。</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2024年本单位组织的出国团组0个，出国0人次。</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2.公务用车购置及运行维护费预算49,904.57元，支出决算49,904.57元，与预算相比持平，完成预算的100.000%；支出决算较上年增加1,878.86元，增长3.912%。决算数与预算数持平的主要原因是</w:t>
      </w:r>
      <w:r>
        <w:rPr>
          <w:rFonts w:hint="eastAsia" w:ascii="Times New Roman" w:eastAsia="仿宋_GB2312"/>
          <w:sz w:val="30"/>
          <w:szCs w:val="30"/>
        </w:rPr>
        <w:t>严格按照预算批复执行</w:t>
      </w:r>
      <w:r>
        <w:rPr>
          <w:rFonts w:ascii="Times New Roman" w:eastAsia="仿宋_GB2312"/>
          <w:sz w:val="30"/>
          <w:szCs w:val="30"/>
        </w:rPr>
        <w:t>；决算数较上年增加的主要原因是</w:t>
      </w:r>
      <w:r>
        <w:rPr>
          <w:rFonts w:hint="eastAsia" w:ascii="Times New Roman" w:eastAsia="仿宋_GB2312"/>
          <w:sz w:val="30"/>
          <w:szCs w:val="30"/>
        </w:rPr>
        <w:t>公务用车年限较长，使用成本增加</w:t>
      </w:r>
      <w:r>
        <w:rPr>
          <w:rFonts w:ascii="Times New Roman" w:eastAsia="仿宋_GB2312"/>
          <w:sz w:val="30"/>
          <w:szCs w:val="30"/>
        </w:rPr>
        <w:t>。其中：</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公务用车运行维护费预算49,904.57元，支出决算49,904.57元，与预算相比持平，完成预算的100.000%；支出决算较上年增加1,878.86元，增长3.912%。决算数与预算数持平的主要原因是</w:t>
      </w:r>
      <w:r>
        <w:rPr>
          <w:rFonts w:hint="eastAsia" w:ascii="Times New Roman" w:eastAsia="仿宋_GB2312"/>
          <w:sz w:val="30"/>
          <w:szCs w:val="30"/>
        </w:rPr>
        <w:t>严格按照预算批复执行</w:t>
      </w:r>
      <w:r>
        <w:rPr>
          <w:rFonts w:ascii="Times New Roman" w:eastAsia="仿宋_GB2312"/>
          <w:sz w:val="30"/>
          <w:szCs w:val="30"/>
        </w:rPr>
        <w:t>；决算数较上年增加的主要原因是</w:t>
      </w:r>
      <w:r>
        <w:rPr>
          <w:rFonts w:hint="eastAsia" w:ascii="Times New Roman" w:eastAsia="仿宋_GB2312"/>
          <w:sz w:val="30"/>
          <w:szCs w:val="30"/>
        </w:rPr>
        <w:t>公务用车年限较长，使用成本增加</w:t>
      </w:r>
      <w:r>
        <w:rPr>
          <w:rFonts w:ascii="Times New Roman" w:eastAsia="仿宋_GB2312"/>
          <w:sz w:val="30"/>
          <w:szCs w:val="30"/>
        </w:rPr>
        <w:t>。</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截至2024年12月31日，使用财政拨款开支运行维护费的公务用车保有量为5辆。</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公务用车购置费预算0.00元，支出决算0.00元，与预算相比持平；支出决算较上年持平；决算数与预算数持平的主要原因是</w:t>
      </w:r>
      <w:r>
        <w:rPr>
          <w:rFonts w:hint="eastAsia" w:ascii="Times New Roman" w:hAnsi="Times New Roman" w:eastAsia="仿宋_GB2312" w:cs="仿宋_GB2312"/>
          <w:sz w:val="30"/>
          <w:szCs w:val="30"/>
        </w:rPr>
        <w:t>本年度未用财政拨款经费列支公务用车购置费</w:t>
      </w:r>
      <w:r>
        <w:rPr>
          <w:rFonts w:ascii="Times New Roman" w:eastAsia="仿宋_GB2312"/>
          <w:sz w:val="30"/>
          <w:szCs w:val="30"/>
        </w:rPr>
        <w:t>；决算数较上年持平的主要原因是</w:t>
      </w:r>
      <w:r>
        <w:rPr>
          <w:rFonts w:hint="eastAsia" w:ascii="Times New Roman" w:hAnsi="Times New Roman" w:eastAsia="仿宋_GB2312" w:cs="仿宋_GB2312"/>
          <w:sz w:val="30"/>
          <w:szCs w:val="30"/>
        </w:rPr>
        <w:t>本年度未用财政拨款经费列支公务用车购置费</w:t>
      </w:r>
      <w:r>
        <w:rPr>
          <w:rFonts w:ascii="Times New Roman" w:eastAsia="仿宋_GB2312"/>
          <w:sz w:val="30"/>
          <w:szCs w:val="30"/>
        </w:rPr>
        <w:t>。</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2024年购置公务用车0辆。</w:t>
      </w:r>
    </w:p>
    <w:p>
      <w:pPr>
        <w:widowControl/>
        <w:numPr>
          <w:ilvl w:val="0"/>
          <w:numId w:val="3"/>
        </w:numPr>
        <w:spacing w:line="360" w:lineRule="auto"/>
        <w:ind w:firstLine="600" w:firstLineChars="200"/>
        <w:rPr>
          <w:rFonts w:ascii="Times New Roman" w:eastAsia="仿宋_GB2312"/>
          <w:sz w:val="30"/>
          <w:szCs w:val="30"/>
        </w:rPr>
      </w:pPr>
      <w:r>
        <w:rPr>
          <w:rFonts w:ascii="Times New Roman" w:eastAsia="仿宋_GB2312"/>
          <w:sz w:val="30"/>
          <w:szCs w:val="30"/>
        </w:rPr>
        <w:t>公务接待费预算600.00元，支出决算600.00元，与预算相比持平，完成预算的100.000%；支出决算较上年增加600.00元，增长100.000%。决算数与预算数持平的主要原因是</w:t>
      </w:r>
      <w:r>
        <w:rPr>
          <w:rFonts w:hint="eastAsia" w:ascii="Times New Roman" w:eastAsia="仿宋_GB2312"/>
          <w:sz w:val="30"/>
          <w:szCs w:val="30"/>
        </w:rPr>
        <w:t>严格按照预算批复执行</w:t>
      </w:r>
      <w:r>
        <w:rPr>
          <w:rFonts w:ascii="Times New Roman" w:eastAsia="仿宋_GB2312"/>
          <w:sz w:val="30"/>
          <w:szCs w:val="30"/>
        </w:rPr>
        <w:t>；决算数较上年增加的主要原因是</w:t>
      </w:r>
      <w:r>
        <w:rPr>
          <w:rFonts w:hint="eastAsia" w:ascii="Times New Roman" w:eastAsia="仿宋_GB2312"/>
          <w:sz w:val="30"/>
          <w:szCs w:val="30"/>
        </w:rPr>
        <w:t>因工作需要，2024年度新增接待活动1批次</w:t>
      </w:r>
      <w:r>
        <w:rPr>
          <w:rFonts w:ascii="Times New Roman" w:eastAsia="仿宋_GB2312"/>
          <w:sz w:val="30"/>
          <w:szCs w:val="30"/>
        </w:rPr>
        <w:t>。</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2024年本单位国内公务接待1批次，2人次；其中，外事接待0批次，0人次。</w:t>
      </w:r>
    </w:p>
    <w:p>
      <w:pPr>
        <w:widowControl/>
        <w:spacing w:line="360" w:lineRule="auto"/>
        <w:ind w:firstLine="602" w:firstLineChars="200"/>
        <w:outlineLvl w:val="1"/>
        <w:rPr>
          <w:rFonts w:ascii="宋体" w:eastAsia="黑体"/>
          <w:sz w:val="30"/>
          <w:szCs w:val="30"/>
        </w:rPr>
      </w:pPr>
      <w:r>
        <w:rPr>
          <w:rFonts w:ascii="宋体" w:eastAsia="黑体"/>
          <w:b/>
          <w:sz w:val="30"/>
          <w:szCs w:val="30"/>
        </w:rPr>
        <w:t>十、机关运行经费支出情况说明</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机关运行经费是指行政单位和参照公务员法管理的事业单位使用财政拨款安排的基本支出中的日常公用经费支出，中国共产党天津市南开区纪律检查委员会（本级）2024年度机关运行经费年初预算2,251,402.67元，决算数2,092,045.48元，与年初预算相比减少159,357.19元，完成年初预算的92.922%；比2023年减少495,270.32元，下降19.142%。主要原因是：</w:t>
      </w:r>
      <w:r>
        <w:rPr>
          <w:rFonts w:hint="eastAsia" w:ascii="Times New Roman" w:eastAsia="仿宋_GB2312"/>
          <w:sz w:val="30"/>
          <w:szCs w:val="30"/>
        </w:rPr>
        <w:t>厉行节约，缩减财政支出</w:t>
      </w:r>
      <w:r>
        <w:rPr>
          <w:rFonts w:ascii="Times New Roman" w:eastAsia="仿宋_GB2312"/>
          <w:sz w:val="30"/>
          <w:szCs w:val="30"/>
        </w:rPr>
        <w:t> 。</w:t>
      </w:r>
    </w:p>
    <w:p>
      <w:pPr>
        <w:widowControl/>
        <w:spacing w:line="360" w:lineRule="auto"/>
        <w:ind w:firstLine="602" w:firstLineChars="200"/>
        <w:outlineLvl w:val="1"/>
        <w:rPr>
          <w:rFonts w:ascii="宋体" w:eastAsia="黑体"/>
          <w:sz w:val="30"/>
          <w:szCs w:val="30"/>
        </w:rPr>
      </w:pPr>
      <w:r>
        <w:rPr>
          <w:rFonts w:ascii="宋体" w:eastAsia="黑体"/>
          <w:b/>
          <w:sz w:val="30"/>
          <w:szCs w:val="30"/>
        </w:rPr>
        <w:t>十一、政府采购支出情况说明</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中国共产党天津市南开区纪律检查委员会（本级）2024年政府采购支出总额5,582,565.88元，其中：政府采购货物支出354,032.00元、政府采购服务支出5,228,533.88元。</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授予中小企业合同金额5,582,565.88元，占政府采购支出总额的100.000%，其中：授予小微企业合同金额5,582,565.88元，占政府采购支出总额的100.000%；货物采购授予中小企业合同金额占货物支出金额的100.000%，服务采购授予中小企业合同金额占服务支出金额的100.000%。</w:t>
      </w:r>
    </w:p>
    <w:p>
      <w:pPr>
        <w:widowControl/>
        <w:spacing w:line="360" w:lineRule="auto"/>
        <w:ind w:firstLine="602" w:firstLineChars="200"/>
        <w:outlineLvl w:val="1"/>
        <w:rPr>
          <w:rFonts w:ascii="宋体" w:eastAsia="黑体"/>
          <w:sz w:val="30"/>
          <w:szCs w:val="30"/>
        </w:rPr>
      </w:pPr>
      <w:r>
        <w:rPr>
          <w:rFonts w:ascii="宋体" w:eastAsia="黑体"/>
          <w:b/>
          <w:sz w:val="30"/>
          <w:szCs w:val="30"/>
        </w:rPr>
        <w:t>十二、国有资产占有使用情况说明</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截至2024年12月31日，中国共产党天津市南开区纪律检查委员会（本级）共有车辆5辆，其中：执法执勤用车5辆。单价100万元以上的设备0台（套）。</w:t>
      </w:r>
    </w:p>
    <w:p>
      <w:pPr>
        <w:widowControl/>
        <w:spacing w:line="360" w:lineRule="auto"/>
        <w:ind w:firstLine="602" w:firstLineChars="200"/>
        <w:outlineLvl w:val="1"/>
        <w:rPr>
          <w:rFonts w:ascii="宋体" w:eastAsia="黑体"/>
          <w:sz w:val="30"/>
          <w:szCs w:val="30"/>
        </w:rPr>
      </w:pPr>
      <w:r>
        <w:rPr>
          <w:rFonts w:ascii="宋体" w:eastAsia="黑体"/>
          <w:b/>
          <w:sz w:val="30"/>
          <w:szCs w:val="30"/>
        </w:rPr>
        <w:t>十三、预算绩效情况说明</w:t>
      </w:r>
    </w:p>
    <w:p>
      <w:pPr>
        <w:widowControl/>
        <w:ind w:firstLine="600" w:firstLineChars="200"/>
        <w:rPr>
          <w:rFonts w:ascii="Times New Roman" w:eastAsia="仿宋_GB2312"/>
          <w:sz w:val="30"/>
          <w:szCs w:val="30"/>
        </w:rPr>
      </w:pPr>
      <w:r>
        <w:rPr>
          <w:rFonts w:ascii="Times New Roman" w:eastAsia="仿宋_GB2312"/>
          <w:sz w:val="30"/>
          <w:szCs w:val="30"/>
        </w:rPr>
        <w:t>根据预算绩效管理要求，中国共产党天津市南开区纪律检查委员会（本级）已对</w:t>
      </w:r>
      <w:r>
        <w:rPr>
          <w:rFonts w:hint="eastAsia" w:ascii="Times New Roman" w:eastAsia="仿宋_GB2312"/>
          <w:sz w:val="30"/>
          <w:szCs w:val="30"/>
        </w:rPr>
        <w:t>6</w:t>
      </w:r>
      <w:r>
        <w:rPr>
          <w:rFonts w:ascii="Times New Roman" w:eastAsia="仿宋_GB2312"/>
          <w:sz w:val="30"/>
          <w:szCs w:val="30"/>
        </w:rPr>
        <w:t>个2024年度项目开展绩效自评，涉及金额</w:t>
      </w:r>
      <w:r>
        <w:rPr>
          <w:rFonts w:hint="eastAsia" w:ascii="Times New Roman" w:eastAsia="仿宋_GB2312"/>
          <w:sz w:val="30"/>
          <w:szCs w:val="30"/>
        </w:rPr>
        <w:t>5,170,358.04</w:t>
      </w:r>
      <w:r>
        <w:rPr>
          <w:rFonts w:ascii="Times New Roman" w:eastAsia="仿宋_GB2312"/>
          <w:sz w:val="30"/>
          <w:szCs w:val="30"/>
        </w:rPr>
        <w:t>元，自评结果已随部门决算一并公开。</w:t>
      </w:r>
    </w:p>
    <w:p>
      <w:pPr>
        <w:widowControl/>
        <w:spacing w:line="360" w:lineRule="auto"/>
        <w:ind w:firstLine="602" w:firstLineChars="200"/>
        <w:outlineLvl w:val="1"/>
        <w:rPr>
          <w:rFonts w:ascii="宋体" w:eastAsia="黑体"/>
          <w:sz w:val="30"/>
          <w:szCs w:val="30"/>
        </w:rPr>
      </w:pPr>
      <w:r>
        <w:rPr>
          <w:rFonts w:ascii="宋体" w:eastAsia="黑体"/>
          <w:b/>
          <w:sz w:val="30"/>
          <w:szCs w:val="30"/>
        </w:rPr>
        <w:t>十四、教育、医疗卫生、社会保障和就业、住房保障、涉农补贴等民生支出情况说明</w:t>
      </w:r>
    </w:p>
    <w:p>
      <w:pPr>
        <w:widowControl/>
        <w:ind w:firstLine="600" w:firstLineChars="200"/>
        <w:rPr>
          <w:rFonts w:ascii="Times New Roman" w:eastAsia="仿宋_GB2312"/>
          <w:sz w:val="30"/>
          <w:szCs w:val="30"/>
        </w:rPr>
      </w:pPr>
      <w:r>
        <w:rPr>
          <w:rFonts w:ascii="Times New Roman" w:eastAsia="仿宋_GB2312"/>
          <w:sz w:val="30"/>
          <w:szCs w:val="30"/>
        </w:rPr>
        <w:t>中国共产党天津市南开区纪律检查委员会（本级）不属于乡、镇、街级单位，不涉及公开2024年度教育、医疗卫生、社会保障和就业、住房保障、涉农补贴等民生支出情况。</w:t>
      </w:r>
    </w:p>
    <w:p>
      <w:pPr>
        <w:widowControl/>
        <w:spacing w:line="360" w:lineRule="auto"/>
        <w:outlineLvl w:val="0"/>
        <w:rPr>
          <w:rFonts w:ascii="黑体" w:eastAsia="黑体"/>
          <w:sz w:val="44"/>
          <w:szCs w:val="44"/>
        </w:rPr>
      </w:pPr>
    </w:p>
    <w:p>
      <w:pPr>
        <w:widowControl/>
        <w:spacing w:line="360" w:lineRule="auto"/>
        <w:outlineLvl w:val="0"/>
        <w:rPr>
          <w:rFonts w:ascii="黑体" w:eastAsia="黑体"/>
          <w:sz w:val="44"/>
          <w:szCs w:val="44"/>
        </w:rPr>
      </w:pPr>
    </w:p>
    <w:p>
      <w:pPr>
        <w:widowControl/>
        <w:spacing w:line="360" w:lineRule="auto"/>
        <w:outlineLvl w:val="0"/>
        <w:rPr>
          <w:rFonts w:ascii="黑体" w:eastAsia="黑体"/>
          <w:sz w:val="44"/>
          <w:szCs w:val="44"/>
        </w:rPr>
      </w:pPr>
    </w:p>
    <w:p>
      <w:pPr>
        <w:widowControl/>
        <w:spacing w:line="360" w:lineRule="auto"/>
        <w:outlineLvl w:val="0"/>
        <w:rPr>
          <w:rFonts w:ascii="黑体" w:eastAsia="黑体"/>
          <w:sz w:val="44"/>
          <w:szCs w:val="44"/>
        </w:rPr>
      </w:pPr>
    </w:p>
    <w:p>
      <w:pPr>
        <w:widowControl/>
        <w:spacing w:line="360" w:lineRule="auto"/>
        <w:outlineLvl w:val="0"/>
        <w:rPr>
          <w:rFonts w:ascii="黑体" w:eastAsia="黑体"/>
          <w:sz w:val="44"/>
          <w:szCs w:val="44"/>
        </w:rPr>
      </w:pPr>
    </w:p>
    <w:p>
      <w:pPr>
        <w:widowControl/>
        <w:spacing w:line="360" w:lineRule="auto"/>
        <w:outlineLvl w:val="0"/>
        <w:rPr>
          <w:rFonts w:ascii="黑体" w:eastAsia="黑体"/>
          <w:sz w:val="44"/>
          <w:szCs w:val="44"/>
        </w:rPr>
      </w:pPr>
    </w:p>
    <w:p>
      <w:pPr>
        <w:widowControl/>
        <w:spacing w:line="360" w:lineRule="auto"/>
        <w:outlineLvl w:val="0"/>
        <w:rPr>
          <w:rFonts w:ascii="黑体" w:eastAsia="黑体"/>
          <w:sz w:val="44"/>
          <w:szCs w:val="44"/>
        </w:rPr>
      </w:pPr>
    </w:p>
    <w:p>
      <w:pPr>
        <w:widowControl/>
        <w:spacing w:line="360" w:lineRule="auto"/>
        <w:outlineLvl w:val="0"/>
        <w:rPr>
          <w:rFonts w:ascii="黑体" w:eastAsia="黑体"/>
          <w:sz w:val="44"/>
          <w:szCs w:val="44"/>
        </w:rPr>
      </w:pPr>
    </w:p>
    <w:p>
      <w:pPr>
        <w:widowControl/>
        <w:spacing w:line="360" w:lineRule="auto"/>
        <w:outlineLvl w:val="0"/>
        <w:rPr>
          <w:rFonts w:ascii="黑体" w:eastAsia="黑体"/>
          <w:sz w:val="44"/>
          <w:szCs w:val="44"/>
        </w:rPr>
      </w:pPr>
    </w:p>
    <w:p>
      <w:pPr>
        <w:widowControl/>
        <w:spacing w:line="360" w:lineRule="auto"/>
        <w:outlineLvl w:val="0"/>
        <w:rPr>
          <w:rFonts w:ascii="黑体" w:eastAsia="黑体"/>
          <w:sz w:val="44"/>
          <w:szCs w:val="44"/>
        </w:rPr>
      </w:pPr>
    </w:p>
    <w:p>
      <w:pPr>
        <w:widowControl/>
        <w:spacing w:line="360" w:lineRule="auto"/>
        <w:outlineLvl w:val="0"/>
        <w:rPr>
          <w:rFonts w:ascii="黑体" w:eastAsia="黑体"/>
          <w:sz w:val="44"/>
          <w:szCs w:val="44"/>
        </w:rPr>
      </w:pPr>
    </w:p>
    <w:p>
      <w:pPr>
        <w:widowControl/>
        <w:spacing w:line="360" w:lineRule="auto"/>
        <w:outlineLvl w:val="0"/>
        <w:rPr>
          <w:rFonts w:ascii="黑体" w:eastAsia="黑体"/>
          <w:sz w:val="44"/>
          <w:szCs w:val="44"/>
        </w:rPr>
      </w:pPr>
    </w:p>
    <w:p>
      <w:pPr>
        <w:widowControl/>
        <w:spacing w:line="360" w:lineRule="auto"/>
        <w:outlineLvl w:val="0"/>
        <w:rPr>
          <w:rFonts w:ascii="黑体" w:eastAsia="黑体"/>
          <w:sz w:val="44"/>
          <w:szCs w:val="44"/>
        </w:rPr>
      </w:pPr>
    </w:p>
    <w:p>
      <w:pPr>
        <w:widowControl/>
        <w:spacing w:line="360" w:lineRule="auto"/>
        <w:outlineLvl w:val="0"/>
        <w:rPr>
          <w:rFonts w:ascii="黑体" w:eastAsia="黑体"/>
          <w:sz w:val="44"/>
          <w:szCs w:val="44"/>
        </w:rPr>
      </w:pPr>
    </w:p>
    <w:p>
      <w:pPr>
        <w:widowControl/>
        <w:spacing w:line="360" w:lineRule="auto"/>
        <w:outlineLvl w:val="0"/>
        <w:rPr>
          <w:rFonts w:ascii="黑体" w:eastAsia="黑体"/>
          <w:sz w:val="44"/>
          <w:szCs w:val="44"/>
        </w:rPr>
      </w:pPr>
    </w:p>
    <w:p>
      <w:pPr>
        <w:widowControl/>
        <w:spacing w:line="360" w:lineRule="auto"/>
        <w:outlineLvl w:val="0"/>
        <w:rPr>
          <w:rFonts w:ascii="黑体" w:eastAsia="黑体"/>
          <w:sz w:val="44"/>
          <w:szCs w:val="44"/>
        </w:rPr>
      </w:pPr>
    </w:p>
    <w:p>
      <w:pPr>
        <w:widowControl/>
        <w:spacing w:line="360" w:lineRule="auto"/>
        <w:jc w:val="center"/>
        <w:outlineLvl w:val="0"/>
        <w:rPr>
          <w:rFonts w:ascii="黑体" w:eastAsia="黑体"/>
          <w:sz w:val="44"/>
          <w:szCs w:val="44"/>
        </w:rPr>
      </w:pPr>
      <w:r>
        <w:rPr>
          <w:rFonts w:ascii="黑体" w:eastAsia="黑体"/>
          <w:sz w:val="44"/>
          <w:szCs w:val="44"/>
        </w:rPr>
        <w:t>第四部分 名词解释</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pPr>
        <w:widowControl/>
        <w:spacing w:line="360" w:lineRule="auto"/>
        <w:ind w:firstLine="600" w:firstLineChars="200"/>
        <w:rPr>
          <w:rFonts w:ascii="Times New Roman" w:eastAsia="仿宋_GB2312"/>
          <w:sz w:val="30"/>
          <w:szCs w:val="30"/>
        </w:rPr>
      </w:pPr>
      <w:r>
        <w:rPr>
          <w:rFonts w:ascii="Times New Roman" w:eastAsia="仿宋_GB2312"/>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p>
      <w:pPr>
        <w:widowControl/>
        <w:spacing w:line="360" w:lineRule="auto"/>
        <w:ind w:firstLine="640" w:firstLineChars="200"/>
        <w:rPr>
          <w:rFonts w:ascii="Times New Roman" w:eastAsia="仿宋_GB2312"/>
          <w:sz w:val="32"/>
          <w:szCs w:val="32"/>
        </w:rPr>
      </w:pPr>
      <w:r>
        <w:rPr>
          <w:rFonts w:ascii="Times New Roman" w:eastAsia="仿宋_GB2312"/>
          <w:sz w:val="32"/>
          <w:szCs w:val="32"/>
        </w:rPr>
        <w:t>  </w:t>
      </w:r>
    </w:p>
    <w:p>
      <w:pPr>
        <w:rPr>
          <w:rFonts w:asciiTheme="minorEastAsia" w:hAnsiTheme="minorEastAsia" w:cstheme="minorEastAsia"/>
          <w:color w:val="333333"/>
          <w:sz w:val="22"/>
          <w:szCs w:val="22"/>
          <w:shd w:val="clear" w:color="auto" w:fill="FFFFFF"/>
        </w:rPr>
      </w:pPr>
    </w:p>
    <w:sectPr>
      <w:pgSz w:w="11906" w:h="16838"/>
      <w:pgMar w:top="2098" w:right="1417" w:bottom="1871" w:left="1417" w:header="851" w:footer="992" w:gutter="0"/>
      <w:cols w:space="0" w:num="1"/>
      <w:docGrid w:type="lines" w:linePitch="32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auto"/>
    <w:pitch w:val="default"/>
    <w:sig w:usb0="A00002EF" w:usb1="4000207B" w:usb2="00000000" w:usb3="00000000" w:csb0="2000019F" w:csb1="00000000"/>
  </w:font>
  <w:font w:name="华文中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AFF" w:usb1="C0007843" w:usb2="00000009" w:usb3="00000000" w:csb0="400001FF" w:csb1="FFFF0000"/>
  </w:font>
  <w:font w:name="Helvetica">
    <w:altName w:val="Arial"/>
    <w:panose1 w:val="020B0604020202020204"/>
    <w:charset w:val="00"/>
    <w:family w:val="swiss"/>
    <w:pitch w:val="default"/>
    <w:sig w:usb0="00000000" w:usb1="00000000" w:usb2="00000000" w:usb3="00000000" w:csb0="00000001" w:csb1="00000000"/>
  </w:font>
  <w:font w:name="Fz_S_BiaoSong_Jt">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10" w:usb3="00000000" w:csb0="00040000" w:csb1="00000000"/>
  </w:font>
  <w:font w:name="宋体-简">
    <w:altName w:val="宋体"/>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8"/>
                </w:pPr>
                <w:r>
                  <w:fldChar w:fldCharType="begin"/>
                </w:r>
                <w:r>
                  <w:instrText xml:space="preserve"> PAGE  \* MERGEFORMAT </w:instrText>
                </w:r>
                <w:r>
                  <w:fldChar w:fldCharType="separate"/>
                </w:r>
                <w:r>
                  <w:t>2</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9BC4C7"/>
    <w:multiLevelType w:val="singleLevel"/>
    <w:tmpl w:val="8C9BC4C7"/>
    <w:lvl w:ilvl="0" w:tentative="0">
      <w:start w:val="3"/>
      <w:numFmt w:val="decimal"/>
      <w:lvlText w:val="%1."/>
      <w:lvlJc w:val="left"/>
      <w:pPr>
        <w:tabs>
          <w:tab w:val="left" w:pos="312"/>
        </w:tabs>
      </w:pPr>
    </w:lvl>
  </w:abstractNum>
  <w:abstractNum w:abstractNumId="1">
    <w:nsid w:val="EBF1D044"/>
    <w:multiLevelType w:val="singleLevel"/>
    <w:tmpl w:val="EBF1D044"/>
    <w:lvl w:ilvl="0" w:tentative="0">
      <w:start w:val="6"/>
      <w:numFmt w:val="chineseCounting"/>
      <w:suff w:val="nothing"/>
      <w:lvlText w:val="%1、"/>
      <w:lvlJc w:val="left"/>
      <w:rPr>
        <w:rFonts w:hint="eastAsia"/>
      </w:rPr>
    </w:lvl>
  </w:abstractNum>
  <w:abstractNum w:abstractNumId="2">
    <w:nsid w:val="5F16A424"/>
    <w:multiLevelType w:val="multilevel"/>
    <w:tmpl w:val="5F16A424"/>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pStyle w:val="5"/>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documentProtection w:enforcement="0"/>
  <w:defaultTabStop w:val="420"/>
  <w:drawingGridVerticalSpacing w:val="165"/>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jb3VudCI6NzMsImhkaWQiOiIwOWZmNGM5NWI3N2I3ZjBhMDgxMmUxZjg3YjY1Y2NmNSIsInVzZXJDb3VudCI6NH0="/>
  </w:docVars>
  <w:rsids>
    <w:rsidRoot w:val="00172A27"/>
    <w:rsid w:val="00086151"/>
    <w:rsid w:val="00172A27"/>
    <w:rsid w:val="00236F8C"/>
    <w:rsid w:val="002D0901"/>
    <w:rsid w:val="004974BA"/>
    <w:rsid w:val="00822154"/>
    <w:rsid w:val="00AA678F"/>
    <w:rsid w:val="00C65689"/>
    <w:rsid w:val="00CC2C8E"/>
    <w:rsid w:val="00CC5B65"/>
    <w:rsid w:val="016646EA"/>
    <w:rsid w:val="01A03C5A"/>
    <w:rsid w:val="01A5267D"/>
    <w:rsid w:val="01AF6A8D"/>
    <w:rsid w:val="024808A2"/>
    <w:rsid w:val="025C3821"/>
    <w:rsid w:val="02DA3B1B"/>
    <w:rsid w:val="02E57B4D"/>
    <w:rsid w:val="03450B90"/>
    <w:rsid w:val="034D137D"/>
    <w:rsid w:val="037B12D4"/>
    <w:rsid w:val="03804D63"/>
    <w:rsid w:val="03FB73B0"/>
    <w:rsid w:val="04806B11"/>
    <w:rsid w:val="049C1B9D"/>
    <w:rsid w:val="04BD008C"/>
    <w:rsid w:val="04C55939"/>
    <w:rsid w:val="04DA28BB"/>
    <w:rsid w:val="04F528BE"/>
    <w:rsid w:val="050E10CE"/>
    <w:rsid w:val="054F2DFB"/>
    <w:rsid w:val="05991C82"/>
    <w:rsid w:val="05CD1EC8"/>
    <w:rsid w:val="061416A9"/>
    <w:rsid w:val="061D60A6"/>
    <w:rsid w:val="06236884"/>
    <w:rsid w:val="06B07006"/>
    <w:rsid w:val="06BD640B"/>
    <w:rsid w:val="06FC7C2A"/>
    <w:rsid w:val="07533AFE"/>
    <w:rsid w:val="07AC18F2"/>
    <w:rsid w:val="07B3657A"/>
    <w:rsid w:val="07C857D0"/>
    <w:rsid w:val="07F16049"/>
    <w:rsid w:val="083F3A0A"/>
    <w:rsid w:val="08AB5AAF"/>
    <w:rsid w:val="09012C64"/>
    <w:rsid w:val="093B2E99"/>
    <w:rsid w:val="095D7943"/>
    <w:rsid w:val="09C006C6"/>
    <w:rsid w:val="09DE10D9"/>
    <w:rsid w:val="0A10621F"/>
    <w:rsid w:val="0A464C4F"/>
    <w:rsid w:val="0A6729A3"/>
    <w:rsid w:val="0A694877"/>
    <w:rsid w:val="0AA954BE"/>
    <w:rsid w:val="0AE70639"/>
    <w:rsid w:val="0B4F5E6D"/>
    <w:rsid w:val="0B54502F"/>
    <w:rsid w:val="0B753AE2"/>
    <w:rsid w:val="0BB67D0A"/>
    <w:rsid w:val="0BC56230"/>
    <w:rsid w:val="0BCF21BD"/>
    <w:rsid w:val="0C4828EF"/>
    <w:rsid w:val="0C4E53E8"/>
    <w:rsid w:val="0C6712D6"/>
    <w:rsid w:val="0C9F7900"/>
    <w:rsid w:val="0CB23317"/>
    <w:rsid w:val="0D101068"/>
    <w:rsid w:val="0D4E13BE"/>
    <w:rsid w:val="0D7557DF"/>
    <w:rsid w:val="0D853E34"/>
    <w:rsid w:val="0D9C2A57"/>
    <w:rsid w:val="0DC3019B"/>
    <w:rsid w:val="0DFA5D82"/>
    <w:rsid w:val="0E1E52CE"/>
    <w:rsid w:val="0E722011"/>
    <w:rsid w:val="0E866524"/>
    <w:rsid w:val="0E9268D3"/>
    <w:rsid w:val="0E957F1F"/>
    <w:rsid w:val="0F0E7284"/>
    <w:rsid w:val="0F28110F"/>
    <w:rsid w:val="0F37083F"/>
    <w:rsid w:val="0F7470AF"/>
    <w:rsid w:val="0F891DB8"/>
    <w:rsid w:val="0F8D3287"/>
    <w:rsid w:val="0FAA3B86"/>
    <w:rsid w:val="10122B0C"/>
    <w:rsid w:val="10191346"/>
    <w:rsid w:val="102A01A6"/>
    <w:rsid w:val="105A290D"/>
    <w:rsid w:val="10754A6C"/>
    <w:rsid w:val="108B537D"/>
    <w:rsid w:val="10953945"/>
    <w:rsid w:val="10B11DB1"/>
    <w:rsid w:val="10E649D4"/>
    <w:rsid w:val="11177F57"/>
    <w:rsid w:val="11217C97"/>
    <w:rsid w:val="11464C20"/>
    <w:rsid w:val="115E4926"/>
    <w:rsid w:val="118A1FFA"/>
    <w:rsid w:val="11E35B5A"/>
    <w:rsid w:val="11E42DD6"/>
    <w:rsid w:val="125F5A1B"/>
    <w:rsid w:val="126979D6"/>
    <w:rsid w:val="129E45A7"/>
    <w:rsid w:val="13074404"/>
    <w:rsid w:val="136A5C00"/>
    <w:rsid w:val="13B97B08"/>
    <w:rsid w:val="13C527AC"/>
    <w:rsid w:val="143C61AE"/>
    <w:rsid w:val="14711797"/>
    <w:rsid w:val="147B6F17"/>
    <w:rsid w:val="14D42061"/>
    <w:rsid w:val="15081C8B"/>
    <w:rsid w:val="15090D5C"/>
    <w:rsid w:val="15CF053D"/>
    <w:rsid w:val="15E0131A"/>
    <w:rsid w:val="15E11DC0"/>
    <w:rsid w:val="16457D9F"/>
    <w:rsid w:val="17223EFF"/>
    <w:rsid w:val="17AA5F28"/>
    <w:rsid w:val="17B713F6"/>
    <w:rsid w:val="184350A0"/>
    <w:rsid w:val="18935485"/>
    <w:rsid w:val="18A34206"/>
    <w:rsid w:val="18DE3B2C"/>
    <w:rsid w:val="1906685D"/>
    <w:rsid w:val="19111683"/>
    <w:rsid w:val="19353916"/>
    <w:rsid w:val="193E101D"/>
    <w:rsid w:val="19C10AF1"/>
    <w:rsid w:val="1A017CDA"/>
    <w:rsid w:val="1A2672DE"/>
    <w:rsid w:val="1AA81D42"/>
    <w:rsid w:val="1AB433D9"/>
    <w:rsid w:val="1AFB6D70"/>
    <w:rsid w:val="1B1B11EE"/>
    <w:rsid w:val="1B3719E0"/>
    <w:rsid w:val="1B6261C3"/>
    <w:rsid w:val="1B731730"/>
    <w:rsid w:val="1B882BB5"/>
    <w:rsid w:val="1B9B33C7"/>
    <w:rsid w:val="1B9D7FEC"/>
    <w:rsid w:val="1BA55461"/>
    <w:rsid w:val="1BE74496"/>
    <w:rsid w:val="1C3D67D1"/>
    <w:rsid w:val="1C40731A"/>
    <w:rsid w:val="1C506572"/>
    <w:rsid w:val="1C560392"/>
    <w:rsid w:val="1C581532"/>
    <w:rsid w:val="1C9F2E05"/>
    <w:rsid w:val="1CA15E03"/>
    <w:rsid w:val="1CA24F0C"/>
    <w:rsid w:val="1CF8716C"/>
    <w:rsid w:val="1D1638FE"/>
    <w:rsid w:val="1D1E545A"/>
    <w:rsid w:val="1D4B1F5B"/>
    <w:rsid w:val="1D6C5CA0"/>
    <w:rsid w:val="1D725586"/>
    <w:rsid w:val="1D745B4F"/>
    <w:rsid w:val="1D867987"/>
    <w:rsid w:val="1D944010"/>
    <w:rsid w:val="1DD70E85"/>
    <w:rsid w:val="1DE74AD7"/>
    <w:rsid w:val="1DF60A19"/>
    <w:rsid w:val="1DFA6713"/>
    <w:rsid w:val="1E050843"/>
    <w:rsid w:val="1E2D3FB0"/>
    <w:rsid w:val="1E2E50F1"/>
    <w:rsid w:val="1E3B4E26"/>
    <w:rsid w:val="1EDF707D"/>
    <w:rsid w:val="1F394761"/>
    <w:rsid w:val="1F65664C"/>
    <w:rsid w:val="1F7C149A"/>
    <w:rsid w:val="1F84140D"/>
    <w:rsid w:val="1F9B7FFD"/>
    <w:rsid w:val="1F9C7614"/>
    <w:rsid w:val="1FBE1971"/>
    <w:rsid w:val="2008768D"/>
    <w:rsid w:val="204B327F"/>
    <w:rsid w:val="204C2B10"/>
    <w:rsid w:val="207D30AD"/>
    <w:rsid w:val="209064B9"/>
    <w:rsid w:val="20970D81"/>
    <w:rsid w:val="20D165D5"/>
    <w:rsid w:val="210878E6"/>
    <w:rsid w:val="210E1408"/>
    <w:rsid w:val="211069AD"/>
    <w:rsid w:val="21573FAB"/>
    <w:rsid w:val="2172069C"/>
    <w:rsid w:val="21987BC4"/>
    <w:rsid w:val="21BE314A"/>
    <w:rsid w:val="220451AB"/>
    <w:rsid w:val="2237486E"/>
    <w:rsid w:val="223D1378"/>
    <w:rsid w:val="22451BC7"/>
    <w:rsid w:val="22940650"/>
    <w:rsid w:val="22AD4B1E"/>
    <w:rsid w:val="22C43743"/>
    <w:rsid w:val="22D31DF3"/>
    <w:rsid w:val="22FD3CF7"/>
    <w:rsid w:val="232C221B"/>
    <w:rsid w:val="2356249E"/>
    <w:rsid w:val="236E713A"/>
    <w:rsid w:val="23700968"/>
    <w:rsid w:val="238761A6"/>
    <w:rsid w:val="23920578"/>
    <w:rsid w:val="23BB6F9A"/>
    <w:rsid w:val="23FC3864"/>
    <w:rsid w:val="24857B00"/>
    <w:rsid w:val="24F25212"/>
    <w:rsid w:val="251B0465"/>
    <w:rsid w:val="254B0AC6"/>
    <w:rsid w:val="25571AB6"/>
    <w:rsid w:val="25B40AD6"/>
    <w:rsid w:val="25BE7872"/>
    <w:rsid w:val="25BF702A"/>
    <w:rsid w:val="25D75943"/>
    <w:rsid w:val="26390459"/>
    <w:rsid w:val="264D2D17"/>
    <w:rsid w:val="26D50E55"/>
    <w:rsid w:val="271A539C"/>
    <w:rsid w:val="273823FA"/>
    <w:rsid w:val="274972D4"/>
    <w:rsid w:val="27AA3D97"/>
    <w:rsid w:val="280A3758"/>
    <w:rsid w:val="28292E99"/>
    <w:rsid w:val="289057C5"/>
    <w:rsid w:val="28A67C7A"/>
    <w:rsid w:val="28EA3248"/>
    <w:rsid w:val="28F879DA"/>
    <w:rsid w:val="294B7731"/>
    <w:rsid w:val="29514455"/>
    <w:rsid w:val="29530A33"/>
    <w:rsid w:val="29D21FF2"/>
    <w:rsid w:val="2A611B0F"/>
    <w:rsid w:val="2A7E7EBD"/>
    <w:rsid w:val="2AC1762B"/>
    <w:rsid w:val="2AE845D0"/>
    <w:rsid w:val="2B4975FB"/>
    <w:rsid w:val="2B695031"/>
    <w:rsid w:val="2B735A8F"/>
    <w:rsid w:val="2B8B7C41"/>
    <w:rsid w:val="2BA7478D"/>
    <w:rsid w:val="2BB038DB"/>
    <w:rsid w:val="2BB761E0"/>
    <w:rsid w:val="2BB812F9"/>
    <w:rsid w:val="2BE35C27"/>
    <w:rsid w:val="2BFA504B"/>
    <w:rsid w:val="2BFF2BAC"/>
    <w:rsid w:val="2C681F1F"/>
    <w:rsid w:val="2C8608DC"/>
    <w:rsid w:val="2CA4764A"/>
    <w:rsid w:val="2CB03005"/>
    <w:rsid w:val="2CC42ECA"/>
    <w:rsid w:val="2CDA4349"/>
    <w:rsid w:val="2D225539"/>
    <w:rsid w:val="2D4618D2"/>
    <w:rsid w:val="2D5F021B"/>
    <w:rsid w:val="2D6E1286"/>
    <w:rsid w:val="2D70583E"/>
    <w:rsid w:val="2E0725DC"/>
    <w:rsid w:val="2E1B4BB8"/>
    <w:rsid w:val="2E256CB6"/>
    <w:rsid w:val="2E5F27E4"/>
    <w:rsid w:val="2EBD223E"/>
    <w:rsid w:val="2EC10AD1"/>
    <w:rsid w:val="2ECB6A5A"/>
    <w:rsid w:val="2EE65418"/>
    <w:rsid w:val="2EFC0112"/>
    <w:rsid w:val="2F0F6197"/>
    <w:rsid w:val="2F2B730D"/>
    <w:rsid w:val="2F9F3DC1"/>
    <w:rsid w:val="2FDD68F6"/>
    <w:rsid w:val="2FFC7AC2"/>
    <w:rsid w:val="301430AF"/>
    <w:rsid w:val="30630612"/>
    <w:rsid w:val="30746475"/>
    <w:rsid w:val="308E59B0"/>
    <w:rsid w:val="30B10568"/>
    <w:rsid w:val="30B865E2"/>
    <w:rsid w:val="30E55DD3"/>
    <w:rsid w:val="30E60399"/>
    <w:rsid w:val="31356AA5"/>
    <w:rsid w:val="313E22F0"/>
    <w:rsid w:val="31B0194C"/>
    <w:rsid w:val="31CE17D1"/>
    <w:rsid w:val="32270449"/>
    <w:rsid w:val="323E4515"/>
    <w:rsid w:val="3286389B"/>
    <w:rsid w:val="32994FDB"/>
    <w:rsid w:val="32CF5C94"/>
    <w:rsid w:val="32D337C7"/>
    <w:rsid w:val="32E200EC"/>
    <w:rsid w:val="32E5408B"/>
    <w:rsid w:val="32EB0D70"/>
    <w:rsid w:val="332824BC"/>
    <w:rsid w:val="332868BB"/>
    <w:rsid w:val="333211F3"/>
    <w:rsid w:val="33504B41"/>
    <w:rsid w:val="338B4A07"/>
    <w:rsid w:val="33944811"/>
    <w:rsid w:val="33CE0488"/>
    <w:rsid w:val="341D31EE"/>
    <w:rsid w:val="34262463"/>
    <w:rsid w:val="34296F31"/>
    <w:rsid w:val="34340A27"/>
    <w:rsid w:val="346A2989"/>
    <w:rsid w:val="348865E9"/>
    <w:rsid w:val="348F70D5"/>
    <w:rsid w:val="349D2BAD"/>
    <w:rsid w:val="34B25886"/>
    <w:rsid w:val="35277FF8"/>
    <w:rsid w:val="35763460"/>
    <w:rsid w:val="35776F72"/>
    <w:rsid w:val="35997371"/>
    <w:rsid w:val="35DD4D47"/>
    <w:rsid w:val="35FDAB06"/>
    <w:rsid w:val="360134DF"/>
    <w:rsid w:val="360B1E2F"/>
    <w:rsid w:val="360D500F"/>
    <w:rsid w:val="36330424"/>
    <w:rsid w:val="36FE3ABA"/>
    <w:rsid w:val="37072BDE"/>
    <w:rsid w:val="37455334"/>
    <w:rsid w:val="37527C32"/>
    <w:rsid w:val="376F0A96"/>
    <w:rsid w:val="37731921"/>
    <w:rsid w:val="37C87FD8"/>
    <w:rsid w:val="37E509C0"/>
    <w:rsid w:val="37E96FB8"/>
    <w:rsid w:val="37F32C12"/>
    <w:rsid w:val="38222D85"/>
    <w:rsid w:val="38803721"/>
    <w:rsid w:val="38925A62"/>
    <w:rsid w:val="389F5F4F"/>
    <w:rsid w:val="38C36BA2"/>
    <w:rsid w:val="38E11CEF"/>
    <w:rsid w:val="38F6595C"/>
    <w:rsid w:val="391702A7"/>
    <w:rsid w:val="39286EB6"/>
    <w:rsid w:val="39601DF4"/>
    <w:rsid w:val="396960F3"/>
    <w:rsid w:val="39840D35"/>
    <w:rsid w:val="39933447"/>
    <w:rsid w:val="39A97DAF"/>
    <w:rsid w:val="39CD1330"/>
    <w:rsid w:val="39DD1AFF"/>
    <w:rsid w:val="3A2510B9"/>
    <w:rsid w:val="3A2B1DFC"/>
    <w:rsid w:val="3AA6422C"/>
    <w:rsid w:val="3AAF46D5"/>
    <w:rsid w:val="3AF562AE"/>
    <w:rsid w:val="3B135A0E"/>
    <w:rsid w:val="3B272BBC"/>
    <w:rsid w:val="3B374FEE"/>
    <w:rsid w:val="3B4410EE"/>
    <w:rsid w:val="3B56159C"/>
    <w:rsid w:val="3B596DF7"/>
    <w:rsid w:val="3B7D732B"/>
    <w:rsid w:val="3BD30423"/>
    <w:rsid w:val="3C6C0B58"/>
    <w:rsid w:val="3CBE41D5"/>
    <w:rsid w:val="3D446B0E"/>
    <w:rsid w:val="3D745844"/>
    <w:rsid w:val="3D953A6B"/>
    <w:rsid w:val="3DBB5979"/>
    <w:rsid w:val="3DD56F21"/>
    <w:rsid w:val="3DEF6699"/>
    <w:rsid w:val="3DFD4677"/>
    <w:rsid w:val="3E1057AF"/>
    <w:rsid w:val="3E6C0DFA"/>
    <w:rsid w:val="3E740322"/>
    <w:rsid w:val="3E7F4380"/>
    <w:rsid w:val="3E8D171B"/>
    <w:rsid w:val="3EA5630D"/>
    <w:rsid w:val="3EBA731B"/>
    <w:rsid w:val="3EE33949"/>
    <w:rsid w:val="3EFB5800"/>
    <w:rsid w:val="3F3B4E59"/>
    <w:rsid w:val="3F595734"/>
    <w:rsid w:val="3F6E677C"/>
    <w:rsid w:val="3F712F46"/>
    <w:rsid w:val="3FBC0EF7"/>
    <w:rsid w:val="3FCD2AB9"/>
    <w:rsid w:val="3FCFF788"/>
    <w:rsid w:val="3FD17600"/>
    <w:rsid w:val="402E7C36"/>
    <w:rsid w:val="4050218A"/>
    <w:rsid w:val="405C7868"/>
    <w:rsid w:val="408B24EB"/>
    <w:rsid w:val="408D1DBF"/>
    <w:rsid w:val="40C652D1"/>
    <w:rsid w:val="417044B8"/>
    <w:rsid w:val="41A203A0"/>
    <w:rsid w:val="41A25D3E"/>
    <w:rsid w:val="41C77987"/>
    <w:rsid w:val="41E83F8C"/>
    <w:rsid w:val="422D1842"/>
    <w:rsid w:val="425B7C31"/>
    <w:rsid w:val="427D66D0"/>
    <w:rsid w:val="42BC7E02"/>
    <w:rsid w:val="42C803FA"/>
    <w:rsid w:val="42C82575"/>
    <w:rsid w:val="43022EE1"/>
    <w:rsid w:val="431A5F8F"/>
    <w:rsid w:val="431F247A"/>
    <w:rsid w:val="43335E8F"/>
    <w:rsid w:val="433F2968"/>
    <w:rsid w:val="43655F7F"/>
    <w:rsid w:val="43676E20"/>
    <w:rsid w:val="43A31040"/>
    <w:rsid w:val="43BF774E"/>
    <w:rsid w:val="43CD062F"/>
    <w:rsid w:val="43E214F9"/>
    <w:rsid w:val="43F06264"/>
    <w:rsid w:val="44404C8E"/>
    <w:rsid w:val="447537F1"/>
    <w:rsid w:val="44870D07"/>
    <w:rsid w:val="44D33826"/>
    <w:rsid w:val="45344EFF"/>
    <w:rsid w:val="45513D03"/>
    <w:rsid w:val="45541E1C"/>
    <w:rsid w:val="45FE7734"/>
    <w:rsid w:val="461F0A8B"/>
    <w:rsid w:val="4648721E"/>
    <w:rsid w:val="46663E71"/>
    <w:rsid w:val="466A37AC"/>
    <w:rsid w:val="468A1A00"/>
    <w:rsid w:val="46CB071B"/>
    <w:rsid w:val="46DE140B"/>
    <w:rsid w:val="46E77334"/>
    <w:rsid w:val="46F22E29"/>
    <w:rsid w:val="46F7142F"/>
    <w:rsid w:val="47107AE3"/>
    <w:rsid w:val="473C62ED"/>
    <w:rsid w:val="47617242"/>
    <w:rsid w:val="478C16C9"/>
    <w:rsid w:val="47BD246B"/>
    <w:rsid w:val="47CB2B0C"/>
    <w:rsid w:val="47E773CE"/>
    <w:rsid w:val="47EE2C9A"/>
    <w:rsid w:val="47EE71C5"/>
    <w:rsid w:val="47F00499"/>
    <w:rsid w:val="48015FF5"/>
    <w:rsid w:val="483820D2"/>
    <w:rsid w:val="48692CD0"/>
    <w:rsid w:val="48AE3D01"/>
    <w:rsid w:val="48B96318"/>
    <w:rsid w:val="49067B2F"/>
    <w:rsid w:val="49677E31"/>
    <w:rsid w:val="496C2225"/>
    <w:rsid w:val="49A35E02"/>
    <w:rsid w:val="49AE2880"/>
    <w:rsid w:val="49F42EAF"/>
    <w:rsid w:val="4A21732F"/>
    <w:rsid w:val="4A337323"/>
    <w:rsid w:val="4A5B28DC"/>
    <w:rsid w:val="4AA06B93"/>
    <w:rsid w:val="4ADB18EB"/>
    <w:rsid w:val="4B3A6FE7"/>
    <w:rsid w:val="4B96118E"/>
    <w:rsid w:val="4BAE1B66"/>
    <w:rsid w:val="4BC806E6"/>
    <w:rsid w:val="4BED4708"/>
    <w:rsid w:val="4BF133DC"/>
    <w:rsid w:val="4C2E4987"/>
    <w:rsid w:val="4C4117A4"/>
    <w:rsid w:val="4C507D4A"/>
    <w:rsid w:val="4CB65017"/>
    <w:rsid w:val="4CDF5563"/>
    <w:rsid w:val="4CFB2214"/>
    <w:rsid w:val="4D2C4D26"/>
    <w:rsid w:val="4D335E0E"/>
    <w:rsid w:val="4D342DE6"/>
    <w:rsid w:val="4D4E4EA3"/>
    <w:rsid w:val="4D9A5B1B"/>
    <w:rsid w:val="4DA55D85"/>
    <w:rsid w:val="4DBB20DB"/>
    <w:rsid w:val="4DDC3F22"/>
    <w:rsid w:val="4DE66FB2"/>
    <w:rsid w:val="4DEC6CB8"/>
    <w:rsid w:val="4E1040C7"/>
    <w:rsid w:val="4E1760BF"/>
    <w:rsid w:val="4E30647F"/>
    <w:rsid w:val="4EBA03C3"/>
    <w:rsid w:val="4EBC5459"/>
    <w:rsid w:val="4ED94CB0"/>
    <w:rsid w:val="4EEC2ED3"/>
    <w:rsid w:val="4F0E56EA"/>
    <w:rsid w:val="4F2E11BC"/>
    <w:rsid w:val="4F326DA2"/>
    <w:rsid w:val="4F3C4343"/>
    <w:rsid w:val="4F416688"/>
    <w:rsid w:val="4F5620B0"/>
    <w:rsid w:val="4F616EB4"/>
    <w:rsid w:val="4F6654EE"/>
    <w:rsid w:val="4F7379C6"/>
    <w:rsid w:val="4F872BDB"/>
    <w:rsid w:val="4F934F18"/>
    <w:rsid w:val="4FA033E9"/>
    <w:rsid w:val="4FA743DA"/>
    <w:rsid w:val="4FB3565A"/>
    <w:rsid w:val="4FC4714D"/>
    <w:rsid w:val="503D1C79"/>
    <w:rsid w:val="5072771C"/>
    <w:rsid w:val="507A6406"/>
    <w:rsid w:val="50853863"/>
    <w:rsid w:val="508A4590"/>
    <w:rsid w:val="50F1461D"/>
    <w:rsid w:val="50FE5411"/>
    <w:rsid w:val="510B072E"/>
    <w:rsid w:val="511B0BF4"/>
    <w:rsid w:val="51264306"/>
    <w:rsid w:val="514E62C9"/>
    <w:rsid w:val="516123CE"/>
    <w:rsid w:val="51932FAD"/>
    <w:rsid w:val="51B177A9"/>
    <w:rsid w:val="51E066EB"/>
    <w:rsid w:val="52314E1F"/>
    <w:rsid w:val="52640E8B"/>
    <w:rsid w:val="5267570A"/>
    <w:rsid w:val="52707792"/>
    <w:rsid w:val="528B47D8"/>
    <w:rsid w:val="52A12CDC"/>
    <w:rsid w:val="52DF0C92"/>
    <w:rsid w:val="52E1159C"/>
    <w:rsid w:val="52E34D6A"/>
    <w:rsid w:val="531E524E"/>
    <w:rsid w:val="534072EB"/>
    <w:rsid w:val="537648BE"/>
    <w:rsid w:val="538E2D0B"/>
    <w:rsid w:val="53922782"/>
    <w:rsid w:val="539C1424"/>
    <w:rsid w:val="53A639C0"/>
    <w:rsid w:val="53F00A24"/>
    <w:rsid w:val="53F63DBA"/>
    <w:rsid w:val="5448624E"/>
    <w:rsid w:val="546E2B1A"/>
    <w:rsid w:val="5482555F"/>
    <w:rsid w:val="54A31DD8"/>
    <w:rsid w:val="54AA6F8B"/>
    <w:rsid w:val="54D26583"/>
    <w:rsid w:val="55363E67"/>
    <w:rsid w:val="556E6DF7"/>
    <w:rsid w:val="55965CE3"/>
    <w:rsid w:val="559D47CE"/>
    <w:rsid w:val="55BE1959"/>
    <w:rsid w:val="55C0134C"/>
    <w:rsid w:val="56232437"/>
    <w:rsid w:val="562D39F0"/>
    <w:rsid w:val="56352885"/>
    <w:rsid w:val="56541A75"/>
    <w:rsid w:val="568832FC"/>
    <w:rsid w:val="568C4181"/>
    <w:rsid w:val="570725A9"/>
    <w:rsid w:val="5714693E"/>
    <w:rsid w:val="571D0C9C"/>
    <w:rsid w:val="573A16CE"/>
    <w:rsid w:val="579C7F80"/>
    <w:rsid w:val="57B30D7C"/>
    <w:rsid w:val="57F9AC10"/>
    <w:rsid w:val="58166B03"/>
    <w:rsid w:val="583E3C94"/>
    <w:rsid w:val="58721734"/>
    <w:rsid w:val="58900246"/>
    <w:rsid w:val="58977358"/>
    <w:rsid w:val="58980A78"/>
    <w:rsid w:val="58D53944"/>
    <w:rsid w:val="58D65478"/>
    <w:rsid w:val="58F52487"/>
    <w:rsid w:val="590422E6"/>
    <w:rsid w:val="592257E5"/>
    <w:rsid w:val="59655E33"/>
    <w:rsid w:val="59CF5BD9"/>
    <w:rsid w:val="59E20C3C"/>
    <w:rsid w:val="5A1D5B0A"/>
    <w:rsid w:val="5A3B4B4E"/>
    <w:rsid w:val="5A4804CA"/>
    <w:rsid w:val="5A585B56"/>
    <w:rsid w:val="5A594C85"/>
    <w:rsid w:val="5A8842AA"/>
    <w:rsid w:val="5AEB1E3C"/>
    <w:rsid w:val="5B2507CA"/>
    <w:rsid w:val="5B2A474A"/>
    <w:rsid w:val="5B2D237E"/>
    <w:rsid w:val="5B830730"/>
    <w:rsid w:val="5BBB2DD6"/>
    <w:rsid w:val="5BE263B6"/>
    <w:rsid w:val="5C8E5C5A"/>
    <w:rsid w:val="5C965E61"/>
    <w:rsid w:val="5CF0089C"/>
    <w:rsid w:val="5CF5796F"/>
    <w:rsid w:val="5D242A11"/>
    <w:rsid w:val="5D9217C2"/>
    <w:rsid w:val="5DAD06BF"/>
    <w:rsid w:val="5DC92CE9"/>
    <w:rsid w:val="5DE23CB3"/>
    <w:rsid w:val="5DE97EEC"/>
    <w:rsid w:val="5DFA5EB0"/>
    <w:rsid w:val="5E000E4D"/>
    <w:rsid w:val="5E0B583E"/>
    <w:rsid w:val="5E201A7B"/>
    <w:rsid w:val="5EA45884"/>
    <w:rsid w:val="5EBD0484"/>
    <w:rsid w:val="5F2C5C7C"/>
    <w:rsid w:val="5F36141C"/>
    <w:rsid w:val="5FC5273F"/>
    <w:rsid w:val="604F6C39"/>
    <w:rsid w:val="60806DF2"/>
    <w:rsid w:val="61072DA5"/>
    <w:rsid w:val="611C0817"/>
    <w:rsid w:val="61224A52"/>
    <w:rsid w:val="61520CCB"/>
    <w:rsid w:val="616060F4"/>
    <w:rsid w:val="61851A29"/>
    <w:rsid w:val="622D1522"/>
    <w:rsid w:val="622E0574"/>
    <w:rsid w:val="62683B6B"/>
    <w:rsid w:val="6275761C"/>
    <w:rsid w:val="62816E52"/>
    <w:rsid w:val="62AB7BE6"/>
    <w:rsid w:val="62AC5944"/>
    <w:rsid w:val="632F3F8A"/>
    <w:rsid w:val="637005E5"/>
    <w:rsid w:val="63716241"/>
    <w:rsid w:val="637279B4"/>
    <w:rsid w:val="63817D2B"/>
    <w:rsid w:val="63BD1FA9"/>
    <w:rsid w:val="63D175D1"/>
    <w:rsid w:val="63D27965"/>
    <w:rsid w:val="63F4667E"/>
    <w:rsid w:val="64095516"/>
    <w:rsid w:val="641A2468"/>
    <w:rsid w:val="64372F20"/>
    <w:rsid w:val="648944D0"/>
    <w:rsid w:val="64DC72D7"/>
    <w:rsid w:val="64FA42B4"/>
    <w:rsid w:val="653619A6"/>
    <w:rsid w:val="65610A02"/>
    <w:rsid w:val="65A11EA3"/>
    <w:rsid w:val="65AC3D66"/>
    <w:rsid w:val="65BB5334"/>
    <w:rsid w:val="65ED45EF"/>
    <w:rsid w:val="65FA6A1E"/>
    <w:rsid w:val="663871F5"/>
    <w:rsid w:val="663E1DBA"/>
    <w:rsid w:val="665D0213"/>
    <w:rsid w:val="668506C7"/>
    <w:rsid w:val="669E59F1"/>
    <w:rsid w:val="66A2024B"/>
    <w:rsid w:val="6704732B"/>
    <w:rsid w:val="670F6731"/>
    <w:rsid w:val="67585CB0"/>
    <w:rsid w:val="67770F0C"/>
    <w:rsid w:val="67B03535"/>
    <w:rsid w:val="68174F69"/>
    <w:rsid w:val="682C436A"/>
    <w:rsid w:val="68382778"/>
    <w:rsid w:val="68391F41"/>
    <w:rsid w:val="68436B8C"/>
    <w:rsid w:val="68797358"/>
    <w:rsid w:val="6884624F"/>
    <w:rsid w:val="68A519DF"/>
    <w:rsid w:val="68C4160B"/>
    <w:rsid w:val="68C41C30"/>
    <w:rsid w:val="68CF3BA4"/>
    <w:rsid w:val="69257FA7"/>
    <w:rsid w:val="693F26C7"/>
    <w:rsid w:val="697E12B2"/>
    <w:rsid w:val="69C8706D"/>
    <w:rsid w:val="6A0E3FB4"/>
    <w:rsid w:val="6A292754"/>
    <w:rsid w:val="6A5E3B28"/>
    <w:rsid w:val="6A6B1EBE"/>
    <w:rsid w:val="6A8F43F7"/>
    <w:rsid w:val="6AD625F3"/>
    <w:rsid w:val="6B7218BE"/>
    <w:rsid w:val="6B750BA9"/>
    <w:rsid w:val="6B8A28E3"/>
    <w:rsid w:val="6BB93285"/>
    <w:rsid w:val="6BEDF527"/>
    <w:rsid w:val="6C0C698C"/>
    <w:rsid w:val="6C222401"/>
    <w:rsid w:val="6C56267F"/>
    <w:rsid w:val="6C826EF9"/>
    <w:rsid w:val="6CAE4C93"/>
    <w:rsid w:val="6CB14F16"/>
    <w:rsid w:val="6CEC2069"/>
    <w:rsid w:val="6D0B1869"/>
    <w:rsid w:val="6D65402D"/>
    <w:rsid w:val="6D683822"/>
    <w:rsid w:val="6D8D136C"/>
    <w:rsid w:val="6DBF2759"/>
    <w:rsid w:val="6DC96F36"/>
    <w:rsid w:val="6DFA3EBF"/>
    <w:rsid w:val="6E3E63D2"/>
    <w:rsid w:val="6E5F7BE6"/>
    <w:rsid w:val="6E6918C6"/>
    <w:rsid w:val="6EEB4AC4"/>
    <w:rsid w:val="6EF82FFC"/>
    <w:rsid w:val="6F212DD6"/>
    <w:rsid w:val="6F3B5912"/>
    <w:rsid w:val="6FA14A81"/>
    <w:rsid w:val="6FA3261F"/>
    <w:rsid w:val="6FB44BAA"/>
    <w:rsid w:val="6FD78D8A"/>
    <w:rsid w:val="6FFDCF89"/>
    <w:rsid w:val="700D6539"/>
    <w:rsid w:val="704203E3"/>
    <w:rsid w:val="7058046B"/>
    <w:rsid w:val="707F2079"/>
    <w:rsid w:val="70922734"/>
    <w:rsid w:val="70CD16CB"/>
    <w:rsid w:val="70CE6DC7"/>
    <w:rsid w:val="710B3646"/>
    <w:rsid w:val="711759F2"/>
    <w:rsid w:val="713C4ED8"/>
    <w:rsid w:val="71407642"/>
    <w:rsid w:val="71641210"/>
    <w:rsid w:val="71D95B7C"/>
    <w:rsid w:val="71EA6A50"/>
    <w:rsid w:val="71FE31A8"/>
    <w:rsid w:val="720C30AE"/>
    <w:rsid w:val="721A7983"/>
    <w:rsid w:val="721F6113"/>
    <w:rsid w:val="7233782C"/>
    <w:rsid w:val="729C0443"/>
    <w:rsid w:val="73177841"/>
    <w:rsid w:val="733774FE"/>
    <w:rsid w:val="73617E1B"/>
    <w:rsid w:val="736D7653"/>
    <w:rsid w:val="738035CB"/>
    <w:rsid w:val="73852C46"/>
    <w:rsid w:val="7396335C"/>
    <w:rsid w:val="73F46595"/>
    <w:rsid w:val="74283FA2"/>
    <w:rsid w:val="742C135B"/>
    <w:rsid w:val="74463733"/>
    <w:rsid w:val="744E6250"/>
    <w:rsid w:val="748A2F40"/>
    <w:rsid w:val="74D84FF7"/>
    <w:rsid w:val="74F85778"/>
    <w:rsid w:val="75272439"/>
    <w:rsid w:val="758F1E9B"/>
    <w:rsid w:val="75CE266B"/>
    <w:rsid w:val="75DD86E9"/>
    <w:rsid w:val="76120141"/>
    <w:rsid w:val="768216BE"/>
    <w:rsid w:val="76924256"/>
    <w:rsid w:val="76C23B43"/>
    <w:rsid w:val="76FD6F97"/>
    <w:rsid w:val="770218E8"/>
    <w:rsid w:val="779469CE"/>
    <w:rsid w:val="77C875A5"/>
    <w:rsid w:val="78A27DF6"/>
    <w:rsid w:val="79285B3A"/>
    <w:rsid w:val="79490B03"/>
    <w:rsid w:val="79625CA9"/>
    <w:rsid w:val="79A91196"/>
    <w:rsid w:val="7A0B32D3"/>
    <w:rsid w:val="7AC13CD3"/>
    <w:rsid w:val="7AE10264"/>
    <w:rsid w:val="7AE4248E"/>
    <w:rsid w:val="7AF47613"/>
    <w:rsid w:val="7B4A207F"/>
    <w:rsid w:val="7B550C59"/>
    <w:rsid w:val="7B936F45"/>
    <w:rsid w:val="7BA47419"/>
    <w:rsid w:val="7BB10D45"/>
    <w:rsid w:val="7BB44151"/>
    <w:rsid w:val="7C656A39"/>
    <w:rsid w:val="7CB93996"/>
    <w:rsid w:val="7CBE0F99"/>
    <w:rsid w:val="7D093576"/>
    <w:rsid w:val="7D115EA6"/>
    <w:rsid w:val="7D4E45F1"/>
    <w:rsid w:val="7DFB6D82"/>
    <w:rsid w:val="7DFED4AA"/>
    <w:rsid w:val="7E1D71D1"/>
    <w:rsid w:val="7E246254"/>
    <w:rsid w:val="7E553215"/>
    <w:rsid w:val="7E6D090F"/>
    <w:rsid w:val="7E9F1641"/>
    <w:rsid w:val="7ECC66B2"/>
    <w:rsid w:val="7F2914C3"/>
    <w:rsid w:val="7F5F2ED6"/>
    <w:rsid w:val="7F7BD542"/>
    <w:rsid w:val="7FA837EF"/>
    <w:rsid w:val="7FBC9352"/>
    <w:rsid w:val="7FC36955"/>
    <w:rsid w:val="7FE903A0"/>
    <w:rsid w:val="7FF07065"/>
    <w:rsid w:val="7FF97946"/>
    <w:rsid w:val="7FFE7888"/>
    <w:rsid w:val="7FFFB5DB"/>
    <w:rsid w:val="8E7B9B6B"/>
    <w:rsid w:val="9FFBFF3B"/>
    <w:rsid w:val="A3BFD1C8"/>
    <w:rsid w:val="AFFFAB52"/>
    <w:rsid w:val="B73F34E5"/>
    <w:rsid w:val="B8E28D64"/>
    <w:rsid w:val="BFA54E51"/>
    <w:rsid w:val="CDFC0DEF"/>
    <w:rsid w:val="D3E60E83"/>
    <w:rsid w:val="DB4FE050"/>
    <w:rsid w:val="DBFEF0D2"/>
    <w:rsid w:val="DFBD6FEF"/>
    <w:rsid w:val="E2DE949D"/>
    <w:rsid w:val="E4C8A119"/>
    <w:rsid w:val="E7F4D2DA"/>
    <w:rsid w:val="E9EF6F43"/>
    <w:rsid w:val="EBF02B0F"/>
    <w:rsid w:val="EEE74D43"/>
    <w:rsid w:val="EF7BA4A3"/>
    <w:rsid w:val="EFEFA57D"/>
    <w:rsid w:val="F65F61B1"/>
    <w:rsid w:val="F997E54E"/>
    <w:rsid w:val="FA7BD81E"/>
    <w:rsid w:val="FAF7E9AA"/>
    <w:rsid w:val="FB4C53D1"/>
    <w:rsid w:val="FBEF8F85"/>
    <w:rsid w:val="FCF3508D"/>
    <w:rsid w:val="FCFD37B6"/>
    <w:rsid w:val="FD6FC958"/>
    <w:rsid w:val="FDF7B17C"/>
    <w:rsid w:val="FEF7CD5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宋体" w:asciiTheme="minorHAnsi" w:hAnsiTheme="minorHAnsi" w:eastAsiaTheme="minorEastAsia"/>
      <w:sz w:val="24"/>
      <w:szCs w:val="24"/>
      <w:lang w:val="en-US" w:eastAsia="zh-CN" w:bidi="ar-SA"/>
    </w:rPr>
  </w:style>
  <w:style w:type="paragraph" w:styleId="2">
    <w:name w:val="heading 1"/>
    <w:basedOn w:val="1"/>
    <w:next w:val="1"/>
    <w:qFormat/>
    <w:uiPriority w:val="0"/>
    <w:pPr>
      <w:keepNext/>
      <w:keepLines/>
      <w:numPr>
        <w:ilvl w:val="0"/>
        <w:numId w:val="1"/>
      </w:numPr>
      <w:adjustRightInd w:val="0"/>
      <w:snapToGrid w:val="0"/>
      <w:spacing w:before="340" w:afterLines="50" w:line="578" w:lineRule="auto"/>
      <w:jc w:val="left"/>
      <w:outlineLvl w:val="0"/>
    </w:pPr>
    <w:rPr>
      <w:rFonts w:ascii="Times New Roman" w:hAnsi="Times New Roman" w:eastAsia="仿宋" w:cs="Times New Roman"/>
      <w:b/>
      <w:bCs/>
      <w:kern w:val="44"/>
      <w:sz w:val="36"/>
      <w:szCs w:val="44"/>
    </w:rPr>
  </w:style>
  <w:style w:type="paragraph" w:styleId="3">
    <w:name w:val="heading 2"/>
    <w:basedOn w:val="1"/>
    <w:next w:val="1"/>
    <w:link w:val="15"/>
    <w:semiHidden/>
    <w:unhideWhenUsed/>
    <w:qFormat/>
    <w:uiPriority w:val="9"/>
    <w:pPr>
      <w:numPr>
        <w:ilvl w:val="1"/>
        <w:numId w:val="1"/>
      </w:numPr>
      <w:spacing w:line="416" w:lineRule="auto"/>
      <w:outlineLvl w:val="1"/>
    </w:pPr>
    <w:rPr>
      <w:rFonts w:ascii="Calibri Light" w:hAnsi="Calibri Light" w:eastAsia="宋体" w:cs="Times New Roman"/>
      <w:b/>
      <w:bCs/>
      <w:sz w:val="28"/>
      <w:szCs w:val="32"/>
    </w:rPr>
  </w:style>
  <w:style w:type="paragraph" w:styleId="4">
    <w:name w:val="heading 3"/>
    <w:basedOn w:val="1"/>
    <w:next w:val="1"/>
    <w:semiHidden/>
    <w:unhideWhenUsed/>
    <w:qFormat/>
    <w:uiPriority w:val="9"/>
    <w:pPr>
      <w:keepNext/>
      <w:keepLines/>
      <w:numPr>
        <w:ilvl w:val="2"/>
        <w:numId w:val="1"/>
      </w:numPr>
      <w:spacing w:beforeLines="50" w:afterLines="50" w:line="416" w:lineRule="auto"/>
      <w:outlineLvl w:val="2"/>
    </w:pPr>
    <w:rPr>
      <w:rFonts w:ascii="宋体" w:hAnsi="宋体" w:eastAsia="宋体"/>
      <w:b/>
      <w:bCs/>
      <w:sz w:val="32"/>
    </w:rPr>
  </w:style>
  <w:style w:type="paragraph" w:styleId="5">
    <w:name w:val="heading 4"/>
    <w:basedOn w:val="1"/>
    <w:next w:val="1"/>
    <w:semiHidden/>
    <w:unhideWhenUsed/>
    <w:qFormat/>
    <w:uiPriority w:val="9"/>
    <w:pPr>
      <w:keepNext/>
      <w:keepLines/>
      <w:numPr>
        <w:ilvl w:val="3"/>
        <w:numId w:val="1"/>
      </w:numPr>
      <w:spacing w:before="120" w:after="120"/>
      <w:outlineLvl w:val="3"/>
    </w:pPr>
    <w:rPr>
      <w:rFonts w:ascii="Calibri Light" w:hAnsi="Calibri Light" w:eastAsia="宋体" w:cs="Times New Roman"/>
      <w:b/>
      <w:bCs/>
      <w:sz w:val="28"/>
      <w:szCs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semiHidden/>
    <w:unhideWhenUsed/>
    <w:qFormat/>
    <w:uiPriority w:val="99"/>
    <w:pPr>
      <w:jc w:val="left"/>
    </w:pPr>
  </w:style>
  <w:style w:type="paragraph" w:styleId="7">
    <w:name w:val="Balloon Text"/>
    <w:basedOn w:val="1"/>
    <w:link w:val="24"/>
    <w:unhideWhenUsed/>
    <w:qFormat/>
    <w:uiPriority w:val="99"/>
    <w:rPr>
      <w:rFonts w:cstheme="minorBidi"/>
      <w:kern w:val="2"/>
      <w:sz w:val="18"/>
      <w:szCs w:val="18"/>
    </w:rPr>
  </w:style>
  <w:style w:type="paragraph" w:styleId="8">
    <w:name w:val="footer"/>
    <w:basedOn w:val="1"/>
    <w:link w:val="16"/>
    <w:qFormat/>
    <w:uiPriority w:val="99"/>
    <w:pPr>
      <w:tabs>
        <w:tab w:val="center" w:pos="4153"/>
        <w:tab w:val="right" w:pos="8306"/>
      </w:tabs>
      <w:snapToGrid w:val="0"/>
      <w:jc w:val="left"/>
    </w:pPr>
    <w:rPr>
      <w:rFonts w:cstheme="minorBidi"/>
      <w:kern w:val="2"/>
      <w:sz w:val="18"/>
      <w:szCs w:val="18"/>
    </w:rPr>
  </w:style>
  <w:style w:type="paragraph" w:styleId="9">
    <w:name w:val="header"/>
    <w:basedOn w:val="1"/>
    <w:link w:val="17"/>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center"/>
    </w:pPr>
    <w:rPr>
      <w:rFonts w:cstheme="minorBidi"/>
      <w:kern w:val="2"/>
      <w:sz w:val="18"/>
      <w:szCs w:val="18"/>
    </w:rPr>
  </w:style>
  <w:style w:type="paragraph" w:styleId="10">
    <w:name w:val="Normal (Web)"/>
    <w:basedOn w:val="1"/>
    <w:semiHidden/>
    <w:unhideWhenUsed/>
    <w:qFormat/>
    <w:uiPriority w:val="99"/>
    <w:pPr>
      <w:spacing w:beforeAutospacing="1" w:afterAutospacing="1"/>
      <w:jc w:val="left"/>
    </w:pPr>
    <w:rPr>
      <w:rFonts w:cs="Times New Roman"/>
    </w:rPr>
  </w:style>
  <w:style w:type="table" w:styleId="12">
    <w:name w:val="Table Grid"/>
    <w:qFormat/>
    <w:uiPriority w:val="0"/>
    <w:rPr>
      <w:sz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4">
    <w:name w:val="Strong"/>
    <w:basedOn w:val="13"/>
    <w:qFormat/>
    <w:uiPriority w:val="22"/>
    <w:rPr>
      <w:b/>
    </w:rPr>
  </w:style>
  <w:style w:type="character" w:customStyle="1" w:styleId="15">
    <w:name w:val="标题 2 Char"/>
    <w:link w:val="3"/>
    <w:qFormat/>
    <w:uiPriority w:val="0"/>
    <w:rPr>
      <w:rFonts w:ascii="Calibri Light" w:hAnsi="Calibri Light" w:eastAsia="宋体" w:cs="Times New Roman"/>
      <w:b/>
      <w:bCs/>
      <w:sz w:val="28"/>
      <w:szCs w:val="32"/>
    </w:rPr>
  </w:style>
  <w:style w:type="character" w:customStyle="1" w:styleId="16">
    <w:name w:val="页脚 Char"/>
    <w:basedOn w:val="13"/>
    <w:link w:val="8"/>
    <w:qFormat/>
    <w:uiPriority w:val="99"/>
    <w:rPr>
      <w:rFonts w:asciiTheme="minorHAnsi" w:hAnsiTheme="minorHAnsi" w:eastAsiaTheme="minorEastAsia" w:cstheme="minorBidi"/>
      <w:sz w:val="18"/>
      <w:szCs w:val="18"/>
      <w:lang w:val="en-US" w:eastAsia="zh-CN" w:bidi="ar-SA"/>
    </w:rPr>
  </w:style>
  <w:style w:type="character" w:customStyle="1" w:styleId="17">
    <w:name w:val="页眉 Char"/>
    <w:basedOn w:val="13"/>
    <w:link w:val="9"/>
    <w:qFormat/>
    <w:uiPriority w:val="0"/>
    <w:rPr>
      <w:rFonts w:asciiTheme="minorHAnsi" w:hAnsiTheme="minorHAnsi" w:eastAsiaTheme="minorEastAsia" w:cstheme="minorBidi"/>
      <w:sz w:val="18"/>
      <w:szCs w:val="18"/>
      <w:lang w:val="en-US" w:eastAsia="zh-CN" w:bidi="ar-SA"/>
    </w:rPr>
  </w:style>
  <w:style w:type="character" w:customStyle="1" w:styleId="18">
    <w:name w:val="font11"/>
    <w:basedOn w:val="13"/>
    <w:qFormat/>
    <w:uiPriority w:val="0"/>
    <w:rPr>
      <w:rFonts w:hint="eastAsia" w:ascii="宋体" w:hAnsi="宋体" w:eastAsia="宋体" w:cs="宋体"/>
      <w:color w:val="000000"/>
      <w:sz w:val="20"/>
      <w:szCs w:val="20"/>
      <w:u w:val="none"/>
      <w:lang w:val="en-US" w:eastAsia="zh-CN" w:bidi="ar-SA"/>
    </w:rPr>
  </w:style>
  <w:style w:type="character" w:customStyle="1" w:styleId="19">
    <w:name w:val="font01"/>
    <w:basedOn w:val="13"/>
    <w:qFormat/>
    <w:uiPriority w:val="0"/>
    <w:rPr>
      <w:rFonts w:hint="eastAsia" w:ascii="宋体" w:hAnsi="宋体" w:eastAsia="宋体" w:cs="宋体"/>
      <w:color w:val="000000"/>
      <w:sz w:val="22"/>
      <w:szCs w:val="22"/>
      <w:u w:val="none"/>
      <w:lang w:val="en-US" w:eastAsia="zh-CN" w:bidi="ar-SA"/>
    </w:rPr>
  </w:style>
  <w:style w:type="character" w:customStyle="1" w:styleId="20">
    <w:name w:val="font41"/>
    <w:basedOn w:val="13"/>
    <w:qFormat/>
    <w:uiPriority w:val="0"/>
    <w:rPr>
      <w:rFonts w:hint="eastAsia" w:ascii="宋体" w:hAnsi="宋体" w:eastAsia="宋体" w:cs="宋体"/>
      <w:color w:val="000000"/>
      <w:sz w:val="24"/>
      <w:szCs w:val="24"/>
      <w:u w:val="none"/>
      <w:lang w:val="en-US" w:eastAsia="zh-CN" w:bidi="ar-SA"/>
    </w:rPr>
  </w:style>
  <w:style w:type="character" w:customStyle="1" w:styleId="21">
    <w:name w:val="font31"/>
    <w:basedOn w:val="13"/>
    <w:qFormat/>
    <w:uiPriority w:val="0"/>
    <w:rPr>
      <w:rFonts w:hint="eastAsia" w:ascii="华文中宋" w:hAnsi="华文中宋" w:eastAsia="华文中宋" w:cs="华文中宋"/>
      <w:color w:val="000000"/>
      <w:sz w:val="32"/>
      <w:szCs w:val="32"/>
      <w:u w:val="none"/>
      <w:lang w:val="en-US" w:eastAsia="zh-CN" w:bidi="ar-SA"/>
    </w:rPr>
  </w:style>
  <w:style w:type="character" w:customStyle="1" w:styleId="22">
    <w:name w:val="font91"/>
    <w:basedOn w:val="13"/>
    <w:qFormat/>
    <w:uiPriority w:val="0"/>
    <w:rPr>
      <w:rFonts w:hint="eastAsia" w:ascii="华文中宋" w:hAnsi="华文中宋" w:eastAsia="华文中宋" w:cs="华文中宋"/>
      <w:color w:val="000000"/>
      <w:sz w:val="32"/>
      <w:szCs w:val="32"/>
      <w:u w:val="none"/>
      <w:lang w:val="en-US" w:eastAsia="zh-CN" w:bidi="ar-SA"/>
    </w:rPr>
  </w:style>
  <w:style w:type="character" w:customStyle="1" w:styleId="23">
    <w:name w:val="font51"/>
    <w:basedOn w:val="13"/>
    <w:qFormat/>
    <w:uiPriority w:val="0"/>
    <w:rPr>
      <w:rFonts w:hint="eastAsia" w:ascii="宋体" w:hAnsi="宋体" w:eastAsia="宋体" w:cs="宋体"/>
      <w:color w:val="000000"/>
      <w:sz w:val="24"/>
      <w:szCs w:val="24"/>
      <w:u w:val="none"/>
      <w:lang w:val="en-US" w:eastAsia="zh-CN" w:bidi="ar-SA"/>
    </w:rPr>
  </w:style>
  <w:style w:type="character" w:customStyle="1" w:styleId="24">
    <w:name w:val="批注框文本 Char"/>
    <w:basedOn w:val="13"/>
    <w:link w:val="7"/>
    <w:semiHidden/>
    <w:qFormat/>
    <w:uiPriority w:val="99"/>
    <w:rPr>
      <w:rFonts w:asciiTheme="minorHAnsi" w:hAnsiTheme="minorHAnsi" w:eastAsiaTheme="minorEastAsia" w:cstheme="minorBidi"/>
      <w:sz w:val="18"/>
      <w:szCs w:val="18"/>
      <w:lang w:val="en-US" w:eastAsia="zh-CN" w:bidi="ar-SA"/>
    </w:rPr>
  </w:style>
  <w:style w:type="character" w:customStyle="1" w:styleId="25">
    <w:name w:val="font71"/>
    <w:basedOn w:val="13"/>
    <w:qFormat/>
    <w:uiPriority w:val="0"/>
    <w:rPr>
      <w:rFonts w:ascii="Arial" w:hAnsi="Arial" w:cs="Arial"/>
      <w:color w:val="000000"/>
      <w:sz w:val="20"/>
      <w:szCs w:val="20"/>
      <w:u w:val="none"/>
    </w:rPr>
  </w:style>
  <w:style w:type="character" w:customStyle="1" w:styleId="26">
    <w:name w:val="font61"/>
    <w:basedOn w:val="13"/>
    <w:qFormat/>
    <w:uiPriority w:val="0"/>
    <w:rPr>
      <w:rFonts w:hint="eastAsia" w:ascii="宋体" w:hAnsi="宋体" w:eastAsia="宋体" w:cs="宋体"/>
      <w:color w:val="000000"/>
      <w:sz w:val="20"/>
      <w:szCs w:val="20"/>
      <w:u w:val="none"/>
    </w:rPr>
  </w:style>
  <w:style w:type="character" w:customStyle="1" w:styleId="27">
    <w:name w:val="font21"/>
    <w:basedOn w:val="13"/>
    <w:qFormat/>
    <w:uiPriority w:val="0"/>
    <w:rPr>
      <w:rFonts w:hint="eastAsia" w:ascii="宋体" w:hAnsi="宋体" w:eastAsia="宋体" w:cs="宋体"/>
      <w:color w:val="000000"/>
      <w:sz w:val="20"/>
      <w:szCs w:val="20"/>
      <w:u w:val="none"/>
    </w:rPr>
  </w:style>
  <w:style w:type="paragraph" w:customStyle="1" w:styleId="28">
    <w:name w:val="p1"/>
    <w:basedOn w:val="1"/>
    <w:qFormat/>
    <w:uiPriority w:val="0"/>
    <w:pPr>
      <w:jc w:val="left"/>
    </w:pPr>
    <w:rPr>
      <w:rFonts w:ascii="Helvetica" w:hAnsi="Helvetica" w:eastAsia="Helvetica" w:cs="Times New Roman"/>
      <w:color w:val="000000"/>
      <w:sz w:val="30"/>
      <w:szCs w:val="3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34</Pages>
  <Words>2055</Words>
  <Characters>11719</Characters>
  <Lines>97</Lines>
  <Paragraphs>27</Paragraphs>
  <TotalTime>136</TotalTime>
  <ScaleCrop>false</ScaleCrop>
  <LinksUpToDate>false</LinksUpToDate>
  <CharactersWithSpaces>13747</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2023-08-06T23:55:00Z</dcterms:created>
  <dc:creator>王明新TIAD</dc:creator>
  <cp:lastModifiedBy>Administrator</cp:lastModifiedBy>
  <cp:lastPrinted>2023-08-06T17:00:00Z</cp:lastPrinted>
  <dcterms:modified xsi:type="dcterms:W3CDTF">2025-09-28T07:33:40Z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4DD241A32C2A74221E599C68814E8004_43</vt:lpwstr>
  </property>
  <property fmtid="{D5CDD505-2E9C-101B-9397-08002B2CF9AE}" pid="4" name="KSOTemplateUUID">
    <vt:lpwstr>v1.0_mb_S7ajbG3IpAnL1wSthNCxfw==</vt:lpwstr>
  </property>
  <property fmtid="{D5CDD505-2E9C-101B-9397-08002B2CF9AE}" pid="5" name="KSOTemplateDocerSaveRecord">
    <vt:lpwstr>eyJoZGlkIjoiODczM2M4Y2Y4MWZjZmRiODkyNDdiNmU1ZGM2NGRkOWEiLCJ1c2VySWQiOiI1OTM0MzU5MTkifQ==</vt:lpwstr>
  </property>
</Properties>
</file>