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方正小标宋简体" w:cs="方正小标宋简体"/>
          <w:color w:val="auto"/>
          <w:kern w:val="0"/>
          <w:sz w:val="48"/>
          <w:szCs w:val="48"/>
          <w:lang w:val="zh-CN"/>
        </w:rPr>
      </w:pPr>
    </w:p>
    <w:p>
      <w:pPr>
        <w:autoSpaceDE w:val="0"/>
        <w:autoSpaceDN w:val="0"/>
        <w:adjustRightInd w:val="0"/>
        <w:jc w:val="center"/>
        <w:rPr>
          <w:rFonts w:ascii="Times New Roman" w:hAnsi="Times New Roman" w:eastAsia="方正小标宋简体" w:cs="方正小标宋简体"/>
          <w:color w:val="auto"/>
          <w:kern w:val="0"/>
          <w:sz w:val="48"/>
          <w:szCs w:val="48"/>
          <w:lang w:val="zh-CN"/>
        </w:rPr>
      </w:pPr>
    </w:p>
    <w:p>
      <w:pPr>
        <w:autoSpaceDE w:val="0"/>
        <w:autoSpaceDN w:val="0"/>
        <w:adjustRightInd w:val="0"/>
        <w:jc w:val="center"/>
        <w:rPr>
          <w:rFonts w:ascii="Times New Roman" w:hAnsi="Times New Roman" w:eastAsia="方正小标宋简体" w:cs="方正小标宋简体"/>
          <w:color w:val="auto"/>
          <w:kern w:val="0"/>
          <w:sz w:val="48"/>
          <w:szCs w:val="48"/>
          <w:lang w:val="zh-CN"/>
        </w:rPr>
      </w:pPr>
    </w:p>
    <w:p>
      <w:pPr>
        <w:autoSpaceDE w:val="0"/>
        <w:autoSpaceDN w:val="0"/>
        <w:adjustRightInd w:val="0"/>
        <w:jc w:val="center"/>
        <w:rPr>
          <w:rFonts w:ascii="Times New Roman" w:hAnsi="Times New Roman" w:eastAsia="方正小标宋简体" w:cs="方正小标宋简体"/>
          <w:color w:val="auto"/>
          <w:kern w:val="0"/>
          <w:sz w:val="48"/>
          <w:szCs w:val="48"/>
          <w:lang w:val="zh-CN"/>
        </w:rPr>
      </w:pPr>
    </w:p>
    <w:p>
      <w:pPr>
        <w:autoSpaceDE w:val="0"/>
        <w:autoSpaceDN w:val="0"/>
        <w:adjustRightInd w:val="0"/>
        <w:jc w:val="center"/>
        <w:rPr>
          <w:rFonts w:ascii="Times New Roman" w:hAnsi="Times New Roman" w:eastAsia="方正小标宋简体" w:cs="方正小标宋简体"/>
          <w:color w:val="auto"/>
          <w:kern w:val="0"/>
          <w:sz w:val="48"/>
          <w:szCs w:val="48"/>
          <w:lang w:val="zh-CN"/>
        </w:rPr>
      </w:pPr>
    </w:p>
    <w:p>
      <w:pPr>
        <w:autoSpaceDE w:val="0"/>
        <w:autoSpaceDN w:val="0"/>
        <w:adjustRightInd w:val="0"/>
        <w:jc w:val="center"/>
        <w:rPr>
          <w:rFonts w:ascii="Times New Roman" w:hAnsi="Times New Roman" w:eastAsia="方正小标宋简体" w:cs="方正小标宋简体"/>
          <w:color w:val="auto"/>
          <w:kern w:val="0"/>
          <w:sz w:val="48"/>
          <w:szCs w:val="48"/>
          <w:lang w:val="zh-CN"/>
        </w:rPr>
      </w:pPr>
    </w:p>
    <w:p>
      <w:pPr>
        <w:autoSpaceDE w:val="0"/>
        <w:autoSpaceDN w:val="0"/>
        <w:adjustRightInd w:val="0"/>
        <w:jc w:val="center"/>
        <w:rPr>
          <w:rFonts w:ascii="Times New Roman" w:hAnsi="Times New Roman" w:eastAsia="方正小标宋简体" w:cs="方正小标宋简体"/>
          <w:color w:val="auto"/>
          <w:kern w:val="0"/>
          <w:sz w:val="48"/>
          <w:szCs w:val="48"/>
          <w:lang w:val="zh-CN"/>
        </w:rPr>
      </w:pPr>
    </w:p>
    <w:p>
      <w:pPr>
        <w:autoSpaceDE w:val="0"/>
        <w:autoSpaceDN w:val="0"/>
        <w:adjustRightInd w:val="0"/>
        <w:jc w:val="center"/>
        <w:rPr>
          <w:rFonts w:ascii="Times New Roman" w:hAnsi="Times New Roman" w:eastAsia="方正小标宋简体" w:cs="方正小标宋简体"/>
          <w:color w:val="auto"/>
          <w:kern w:val="0"/>
          <w:sz w:val="48"/>
          <w:szCs w:val="48"/>
          <w:lang w:val="zh-CN"/>
        </w:rPr>
      </w:pPr>
    </w:p>
    <w:p>
      <w:pPr>
        <w:autoSpaceDE w:val="0"/>
        <w:autoSpaceDN w:val="0"/>
        <w:adjustRightInd w:val="0"/>
        <w:jc w:val="center"/>
        <w:rPr>
          <w:rFonts w:ascii="Times New Roman" w:hAnsi="Times New Roman" w:eastAsia="方正小标宋简体" w:cs="方正小标宋简体"/>
          <w:color w:val="auto"/>
          <w:kern w:val="0"/>
          <w:sz w:val="48"/>
          <w:szCs w:val="48"/>
          <w:lang w:val="zh-CN"/>
        </w:rPr>
      </w:pPr>
      <w:r>
        <w:rPr>
          <w:rFonts w:hint="eastAsia" w:ascii="Times New Roman" w:hAnsi="Times New Roman" w:eastAsia="方正小标宋简体" w:cs="方正小标宋简体"/>
          <w:color w:val="auto"/>
          <w:kern w:val="0"/>
          <w:sz w:val="48"/>
          <w:szCs w:val="48"/>
          <w:lang w:val="zh-CN"/>
        </w:rPr>
        <w:t>天津市南开区纪委监委综合服务中心2023年度部门决算</w:t>
      </w:r>
    </w:p>
    <w:p>
      <w:pPr>
        <w:autoSpaceDE w:val="0"/>
        <w:autoSpaceDN w:val="0"/>
        <w:adjustRightInd w:val="0"/>
        <w:spacing w:line="580" w:lineRule="exact"/>
        <w:jc w:val="center"/>
        <w:rPr>
          <w:rFonts w:ascii="Times New Roman" w:hAnsi="Times New Roman" w:eastAsia="黑体" w:cs="黑体"/>
          <w:color w:val="auto"/>
          <w:sz w:val="30"/>
          <w:szCs w:val="30"/>
        </w:rPr>
      </w:pPr>
    </w:p>
    <w:p>
      <w:pPr>
        <w:autoSpaceDE w:val="0"/>
        <w:autoSpaceDN w:val="0"/>
        <w:adjustRightInd w:val="0"/>
        <w:spacing w:line="580" w:lineRule="exact"/>
        <w:jc w:val="center"/>
        <w:rPr>
          <w:rFonts w:ascii="Times New Roman" w:hAnsi="Times New Roman" w:eastAsia="黑体" w:cs="黑体"/>
          <w:color w:val="auto"/>
          <w:sz w:val="30"/>
          <w:szCs w:val="30"/>
        </w:rPr>
      </w:pPr>
    </w:p>
    <w:p>
      <w:pPr>
        <w:autoSpaceDE w:val="0"/>
        <w:autoSpaceDN w:val="0"/>
        <w:adjustRightInd w:val="0"/>
        <w:spacing w:line="580" w:lineRule="exact"/>
        <w:jc w:val="center"/>
        <w:rPr>
          <w:rFonts w:ascii="Times New Roman" w:hAnsi="Times New Roman" w:eastAsia="黑体" w:cs="黑体"/>
          <w:color w:val="auto"/>
          <w:sz w:val="30"/>
          <w:szCs w:val="30"/>
        </w:rPr>
      </w:pPr>
    </w:p>
    <w:p>
      <w:pPr>
        <w:autoSpaceDE w:val="0"/>
        <w:autoSpaceDN w:val="0"/>
        <w:adjustRightInd w:val="0"/>
        <w:spacing w:line="580" w:lineRule="exact"/>
        <w:jc w:val="center"/>
        <w:rPr>
          <w:rFonts w:ascii="Times New Roman" w:hAnsi="Times New Roman" w:eastAsia="黑体" w:cs="黑体"/>
          <w:color w:val="auto"/>
          <w:sz w:val="30"/>
          <w:szCs w:val="30"/>
        </w:rPr>
      </w:pPr>
    </w:p>
    <w:p>
      <w:pPr>
        <w:autoSpaceDE w:val="0"/>
        <w:autoSpaceDN w:val="0"/>
        <w:adjustRightInd w:val="0"/>
        <w:spacing w:line="580" w:lineRule="exact"/>
        <w:jc w:val="center"/>
        <w:rPr>
          <w:rFonts w:ascii="Times New Roman" w:hAnsi="Times New Roman" w:eastAsia="黑体" w:cs="黑体"/>
          <w:color w:val="auto"/>
          <w:sz w:val="30"/>
          <w:szCs w:val="30"/>
        </w:rPr>
      </w:pPr>
    </w:p>
    <w:p>
      <w:pPr>
        <w:autoSpaceDE w:val="0"/>
        <w:autoSpaceDN w:val="0"/>
        <w:adjustRightInd w:val="0"/>
        <w:spacing w:line="600" w:lineRule="exact"/>
        <w:jc w:val="center"/>
        <w:rPr>
          <w:rFonts w:ascii="Times New Roman" w:hAnsi="Times New Roman" w:eastAsia="黑体" w:cs="黑体"/>
          <w:color w:val="auto"/>
          <w:kern w:val="0"/>
          <w:sz w:val="44"/>
          <w:szCs w:val="44"/>
        </w:rPr>
      </w:pPr>
      <w:r>
        <w:rPr>
          <w:rFonts w:ascii="Times New Roman" w:hAnsi="Times New Roman" w:eastAsia="黑体" w:cs="黑体"/>
          <w:color w:val="auto"/>
          <w:sz w:val="30"/>
          <w:szCs w:val="30"/>
        </w:rPr>
        <w:br w:type="page"/>
      </w:r>
    </w:p>
    <w:p>
      <w:pPr>
        <w:autoSpaceDE w:val="0"/>
        <w:autoSpaceDN w:val="0"/>
        <w:adjustRightInd w:val="0"/>
        <w:spacing w:line="600" w:lineRule="exact"/>
        <w:jc w:val="center"/>
        <w:rPr>
          <w:rFonts w:ascii="Times New Roman" w:hAnsi="Times New Roman" w:eastAsia="黑体" w:cs="黑体"/>
          <w:color w:val="auto"/>
          <w:kern w:val="0"/>
          <w:sz w:val="44"/>
          <w:szCs w:val="44"/>
        </w:rPr>
      </w:pPr>
      <w:r>
        <w:rPr>
          <w:rFonts w:hint="eastAsia" w:ascii="Times New Roman" w:hAnsi="Times New Roman" w:eastAsia="黑体" w:cs="黑体"/>
          <w:color w:val="auto"/>
          <w:kern w:val="0"/>
          <w:sz w:val="44"/>
          <w:szCs w:val="44"/>
        </w:rPr>
        <w:t>目录</w:t>
      </w:r>
    </w:p>
    <w:p>
      <w:pPr>
        <w:autoSpaceDE w:val="0"/>
        <w:autoSpaceDN w:val="0"/>
        <w:adjustRightInd w:val="0"/>
        <w:spacing w:line="600" w:lineRule="exact"/>
        <w:jc w:val="left"/>
        <w:rPr>
          <w:rFonts w:ascii="Times New Roman" w:hAnsi="Times New Roman" w:eastAsia="黑体" w:cs="黑体"/>
          <w:color w:val="auto"/>
          <w:kern w:val="0"/>
          <w:sz w:val="30"/>
          <w:szCs w:val="30"/>
        </w:rPr>
      </w:pPr>
    </w:p>
    <w:p>
      <w:pPr>
        <w:tabs>
          <w:tab w:val="right" w:leader="dot" w:pos="8306"/>
        </w:tabs>
        <w:autoSpaceDE w:val="0"/>
        <w:autoSpaceDN w:val="0"/>
        <w:adjustRightInd w:val="0"/>
        <w:spacing w:line="700" w:lineRule="exact"/>
        <w:jc w:val="left"/>
        <w:rPr>
          <w:rFonts w:ascii="Times New Roman" w:hAnsi="Times New Roman" w:eastAsia="方正小标宋简体" w:cs="Times New Roman"/>
          <w:color w:val="auto"/>
          <w:kern w:val="0"/>
          <w:sz w:val="30"/>
          <w:szCs w:val="30"/>
        </w:rPr>
      </w:pPr>
      <w:r>
        <w:rPr>
          <w:rFonts w:hint="eastAsia" w:ascii="Times New Roman" w:hAnsi="Times New Roman" w:eastAsia="方正小标宋简体" w:cs="方正小标宋简体"/>
          <w:color w:val="auto"/>
          <w:kern w:val="0"/>
          <w:sz w:val="30"/>
          <w:szCs w:val="30"/>
        </w:rPr>
        <w:t>第一部分概况</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一、主要职责</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二、机构设置</w:t>
      </w:r>
    </w:p>
    <w:p>
      <w:pPr>
        <w:tabs>
          <w:tab w:val="right" w:leader="dot" w:pos="8306"/>
        </w:tabs>
        <w:autoSpaceDE w:val="0"/>
        <w:autoSpaceDN w:val="0"/>
        <w:adjustRightInd w:val="0"/>
        <w:spacing w:line="700" w:lineRule="exact"/>
        <w:jc w:val="left"/>
        <w:rPr>
          <w:rFonts w:ascii="Times New Roman" w:hAnsi="Times New Roman" w:eastAsia="方正小标宋简体" w:cs="Times New Roman"/>
          <w:color w:val="auto"/>
          <w:kern w:val="0"/>
          <w:sz w:val="30"/>
          <w:szCs w:val="30"/>
        </w:rPr>
      </w:pPr>
      <w:r>
        <w:rPr>
          <w:rFonts w:hint="eastAsia" w:ascii="Times New Roman" w:hAnsi="Times New Roman" w:eastAsia="方正小标宋简体" w:cs="方正小标宋简体"/>
          <w:color w:val="auto"/>
          <w:kern w:val="0"/>
          <w:sz w:val="30"/>
          <w:szCs w:val="30"/>
        </w:rPr>
        <w:t>第二部分2023年度部门决算表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一、收入支出决算总表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二、收入决算表（按功能分类列示）</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三、收入决算表（按单位列示）</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四、支出决算表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五、财政拨款收入支出决算总表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六、一般公共预算财政拨款支出决算表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七、一般公共预算财政拨款基本支出决算表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八、政府性基金预算财政拨款收入支出决算表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九、国有资本经营预算财政拨款收入支出决算表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十、财政拨款</w:t>
      </w:r>
      <w:r>
        <w:rPr>
          <w:rFonts w:ascii="Times New Roman" w:hAnsi="Times New Roman" w:eastAsia="仿宋_GB2312" w:cs="仿宋_GB2312"/>
          <w:color w:val="auto"/>
          <w:kern w:val="0"/>
          <w:sz w:val="30"/>
          <w:szCs w:val="30"/>
        </w:rPr>
        <w:t>“</w:t>
      </w:r>
      <w:r>
        <w:rPr>
          <w:rFonts w:hint="eastAsia" w:ascii="Times New Roman" w:hAnsi="Times New Roman" w:eastAsia="仿宋_GB2312" w:cs="仿宋_GB2312"/>
          <w:color w:val="auto"/>
          <w:kern w:val="0"/>
          <w:sz w:val="30"/>
          <w:szCs w:val="30"/>
        </w:rPr>
        <w:t>三公</w:t>
      </w:r>
      <w:r>
        <w:rPr>
          <w:rFonts w:ascii="Times New Roman" w:hAnsi="Times New Roman" w:eastAsia="仿宋_GB2312" w:cs="仿宋_GB2312"/>
          <w:color w:val="auto"/>
          <w:kern w:val="0"/>
          <w:sz w:val="30"/>
          <w:szCs w:val="30"/>
        </w:rPr>
        <w:t>”</w:t>
      </w:r>
      <w:r>
        <w:rPr>
          <w:rFonts w:hint="eastAsia" w:ascii="Times New Roman" w:hAnsi="Times New Roman" w:eastAsia="仿宋_GB2312" w:cs="仿宋_GB2312"/>
          <w:color w:val="auto"/>
          <w:kern w:val="0"/>
          <w:sz w:val="30"/>
          <w:szCs w:val="30"/>
        </w:rPr>
        <w:t>经费支出决算表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十一、项目支出决算表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十二、关于空表的说明</w:t>
      </w:r>
    </w:p>
    <w:p>
      <w:pPr>
        <w:tabs>
          <w:tab w:val="right" w:leader="dot" w:pos="8306"/>
        </w:tabs>
        <w:autoSpaceDE w:val="0"/>
        <w:autoSpaceDN w:val="0"/>
        <w:adjustRightInd w:val="0"/>
        <w:spacing w:line="700" w:lineRule="exact"/>
        <w:jc w:val="left"/>
        <w:rPr>
          <w:rFonts w:ascii="Times New Roman" w:hAnsi="Times New Roman" w:eastAsia="方正小标宋简体" w:cs="Times New Roman"/>
          <w:color w:val="auto"/>
          <w:kern w:val="0"/>
          <w:sz w:val="30"/>
          <w:szCs w:val="30"/>
        </w:rPr>
      </w:pPr>
      <w:r>
        <w:rPr>
          <w:rFonts w:hint="eastAsia" w:ascii="Times New Roman" w:hAnsi="Times New Roman" w:eastAsia="方正小标宋简体" w:cs="方正小标宋简体"/>
          <w:color w:val="auto"/>
          <w:kern w:val="0"/>
          <w:sz w:val="30"/>
          <w:szCs w:val="30"/>
        </w:rPr>
        <w:t>第三部分2023年度部门决算情况说明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一、收支决算总体情况说明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二、收入决算情况说明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三、支出决算情况说明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四、财政拨款收支决算总体情况说明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五、一般公共预算财政拨款支出决算情况说明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六、一般公共预算财政拨款基本支出决算情况说明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七、政府性基金预算财政拨款收支决算情况说明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八、国有资本经营预算财政拨款收支决算情况说明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九、财政拨款</w:t>
      </w:r>
      <w:r>
        <w:rPr>
          <w:rFonts w:ascii="Times New Roman" w:hAnsi="Times New Roman" w:eastAsia="仿宋_GB2312" w:cs="仿宋_GB2312"/>
          <w:color w:val="auto"/>
          <w:kern w:val="0"/>
          <w:sz w:val="30"/>
          <w:szCs w:val="30"/>
        </w:rPr>
        <w:t>“</w:t>
      </w:r>
      <w:r>
        <w:rPr>
          <w:rFonts w:hint="eastAsia" w:ascii="Times New Roman" w:hAnsi="Times New Roman" w:eastAsia="仿宋_GB2312" w:cs="仿宋_GB2312"/>
          <w:color w:val="auto"/>
          <w:kern w:val="0"/>
          <w:sz w:val="30"/>
          <w:szCs w:val="30"/>
        </w:rPr>
        <w:t>三公</w:t>
      </w:r>
      <w:r>
        <w:rPr>
          <w:rFonts w:ascii="Times New Roman" w:hAnsi="Times New Roman" w:eastAsia="仿宋_GB2312" w:cs="仿宋_GB2312"/>
          <w:color w:val="auto"/>
          <w:kern w:val="0"/>
          <w:sz w:val="30"/>
          <w:szCs w:val="30"/>
        </w:rPr>
        <w:t>”</w:t>
      </w:r>
      <w:r>
        <w:rPr>
          <w:rFonts w:hint="eastAsia" w:ascii="Times New Roman" w:hAnsi="Times New Roman" w:eastAsia="仿宋_GB2312" w:cs="仿宋_GB2312"/>
          <w:color w:val="auto"/>
          <w:kern w:val="0"/>
          <w:sz w:val="30"/>
          <w:szCs w:val="30"/>
        </w:rPr>
        <w:t>经费支出决算情况说明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十、机关运行经费支出情况说明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十一、政府采购支出情况说明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十二、国有资产占有使用情况说明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十三、预算绩效情况说明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十四、教育、医疗卫生、社会保障和就业、住房保障、涉农补贴等民生支出情况说明</w:t>
      </w:r>
    </w:p>
    <w:p>
      <w:pPr>
        <w:tabs>
          <w:tab w:val="right" w:leader="dot" w:pos="8306"/>
        </w:tabs>
        <w:autoSpaceDE w:val="0"/>
        <w:autoSpaceDN w:val="0"/>
        <w:adjustRightInd w:val="0"/>
        <w:spacing w:line="700" w:lineRule="exact"/>
        <w:jc w:val="left"/>
        <w:rPr>
          <w:rFonts w:ascii="Times New Roman" w:hAnsi="Times New Roman" w:eastAsia="方正小标宋简体" w:cs="Times New Roman"/>
          <w:color w:val="auto"/>
          <w:kern w:val="0"/>
          <w:sz w:val="30"/>
          <w:szCs w:val="30"/>
        </w:rPr>
      </w:pPr>
      <w:r>
        <w:rPr>
          <w:rFonts w:hint="eastAsia" w:ascii="Times New Roman" w:hAnsi="Times New Roman" w:eastAsia="方正小标宋简体" w:cs="方正小标宋简体"/>
          <w:color w:val="auto"/>
          <w:kern w:val="0"/>
          <w:sz w:val="30"/>
          <w:szCs w:val="30"/>
        </w:rPr>
        <w:t>第四部分名词解释</w:t>
      </w:r>
    </w:p>
    <w:p>
      <w:pPr>
        <w:autoSpaceDE w:val="0"/>
        <w:autoSpaceDN w:val="0"/>
        <w:adjustRightInd w:val="0"/>
        <w:spacing w:line="700" w:lineRule="exact"/>
        <w:jc w:val="left"/>
        <w:rPr>
          <w:rFonts w:ascii="Times New Roman" w:hAnsi="Times New Roman" w:eastAsia="黑体" w:cs="黑体"/>
          <w:color w:val="auto"/>
          <w:sz w:val="30"/>
          <w:szCs w:val="30"/>
          <w:lang w:val="zh-CN"/>
        </w:rPr>
      </w:pPr>
      <w:r>
        <w:rPr>
          <w:rFonts w:ascii="Times New Roman" w:hAnsi="Times New Roman" w:eastAsia="黑体" w:cs="黑体"/>
          <w:color w:val="auto"/>
          <w:sz w:val="30"/>
          <w:szCs w:val="30"/>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color w:val="auto"/>
          <w:kern w:val="44"/>
          <w:sz w:val="44"/>
          <w:szCs w:val="44"/>
        </w:rPr>
      </w:pPr>
      <w:r>
        <w:rPr>
          <w:rFonts w:hint="eastAsia" w:ascii="Times New Roman" w:hAnsi="Times New Roman" w:eastAsia="方正小标宋简体" w:cs="方正小标宋简体"/>
          <w:color w:val="auto"/>
          <w:kern w:val="44"/>
          <w:sz w:val="44"/>
          <w:szCs w:val="44"/>
        </w:rPr>
        <w:t>第一部分概况</w:t>
      </w:r>
    </w:p>
    <w:p>
      <w:pPr>
        <w:keepNext/>
        <w:keepLines/>
        <w:autoSpaceDE w:val="0"/>
        <w:autoSpaceDN w:val="0"/>
        <w:adjustRightInd w:val="0"/>
        <w:spacing w:line="6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一、主要职责</w:t>
      </w:r>
    </w:p>
    <w:p>
      <w:pPr>
        <w:autoSpaceDE w:val="0"/>
        <w:autoSpaceDN w:val="0"/>
        <w:adjustRightInd w:val="0"/>
        <w:spacing w:line="600" w:lineRule="exact"/>
        <w:ind w:firstLine="600"/>
        <w:jc w:val="left"/>
        <w:rPr>
          <w:rFonts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天津市南开区纪委监委综合服务中心是公益一类事业单位。其主要职责：天津市南开区纪委监委综合服务中心是一类公益事业法人单位，属二级预算单位，财务独立核算，执行政府会计制度。其主要职责是承担全区纪检监察系统信息化建设工作；为纪检监察工作提供设施管理、录音录像、电子取证、司法比对等相关技术支持和服务保障；协助做好谈话对象、留置对象的安全保障及监督检查、审查调查相关辅助性工作。</w:t>
      </w:r>
    </w:p>
    <w:p>
      <w:pPr>
        <w:keepNext/>
        <w:keepLines/>
        <w:autoSpaceDE w:val="0"/>
        <w:autoSpaceDN w:val="0"/>
        <w:adjustRightInd w:val="0"/>
        <w:spacing w:line="6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二、机构设置</w:t>
      </w:r>
    </w:p>
    <w:p>
      <w:pPr>
        <w:autoSpaceDE w:val="0"/>
        <w:autoSpaceDN w:val="0"/>
        <w:adjustRightInd w:val="0"/>
        <w:spacing w:line="600" w:lineRule="exact"/>
        <w:ind w:firstLine="600"/>
        <w:jc w:val="left"/>
        <w:rPr>
          <w:rFonts w:hint="eastAsia" w:ascii="Times New Roman" w:hAnsi="Times New Roman" w:eastAsia="仿宋_GB2312" w:cs="仿宋_GB2312"/>
          <w:color w:val="auto"/>
          <w:sz w:val="30"/>
          <w:szCs w:val="30"/>
          <w:lang w:eastAsia="zh-CN"/>
        </w:rPr>
      </w:pPr>
      <w:r>
        <w:rPr>
          <w:rFonts w:hint="eastAsia" w:ascii="Times New Roman" w:hAnsi="Times New Roman" w:eastAsia="仿宋_GB2312" w:cs="仿宋_GB2312"/>
          <w:color w:val="auto"/>
          <w:sz w:val="30"/>
          <w:szCs w:val="30"/>
        </w:rPr>
        <w:t>天津市南开区纪委监委综合服务中心内设0个职能</w:t>
      </w:r>
      <w:r>
        <w:rPr>
          <w:rFonts w:hint="eastAsia" w:ascii="Times New Roman" w:hAnsi="Times New Roman" w:eastAsia="仿宋_GB2312" w:cs="仿宋_GB2312"/>
          <w:color w:val="auto"/>
          <w:sz w:val="30"/>
          <w:szCs w:val="30"/>
          <w:lang w:eastAsia="zh-CN"/>
        </w:rPr>
        <w:t>科</w:t>
      </w:r>
      <w:r>
        <w:rPr>
          <w:rFonts w:hint="eastAsia" w:ascii="Times New Roman" w:hAnsi="Times New Roman" w:eastAsia="仿宋_GB2312" w:cs="仿宋_GB2312"/>
          <w:color w:val="auto"/>
          <w:sz w:val="30"/>
          <w:szCs w:val="30"/>
        </w:rPr>
        <w:t>室。纳入天津市南开区纪委监委综合服务中心2023年度部门决算编制范围的单位包括：天津市南开区纪委监委综合服务中心</w:t>
      </w:r>
      <w:r>
        <w:rPr>
          <w:rFonts w:hint="eastAsia" w:ascii="Times New Roman" w:hAnsi="Times New Roman" w:eastAsia="仿宋_GB2312" w:cs="仿宋_GB2312"/>
          <w:color w:val="auto"/>
          <w:sz w:val="30"/>
          <w:szCs w:val="30"/>
          <w:lang w:eastAsia="zh-CN"/>
        </w:rPr>
        <w:t>。</w:t>
      </w:r>
    </w:p>
    <w:p>
      <w:pPr>
        <w:rPr>
          <w:rFonts w:ascii="Times New Roman" w:hAnsi="Times New Roman" w:eastAsia="黑体" w:cs="黑体"/>
          <w:color w:val="auto"/>
          <w:sz w:val="30"/>
          <w:szCs w:val="30"/>
          <w:lang w:val="zh-CN"/>
        </w:rPr>
      </w:pPr>
      <w:r>
        <w:rPr>
          <w:rFonts w:ascii="Times New Roman" w:hAnsi="Times New Roman" w:eastAsia="黑体" w:cs="黑体"/>
          <w:color w:val="auto"/>
          <w:sz w:val="30"/>
          <w:szCs w:val="30"/>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color w:val="auto"/>
          <w:kern w:val="44"/>
          <w:sz w:val="44"/>
          <w:szCs w:val="44"/>
        </w:rPr>
      </w:pPr>
      <w:r>
        <w:rPr>
          <w:rFonts w:hint="eastAsia" w:ascii="Times New Roman" w:hAnsi="Times New Roman" w:eastAsia="方正小标宋简体" w:cs="方正小标宋简体"/>
          <w:color w:val="auto"/>
          <w:kern w:val="44"/>
          <w:sz w:val="44"/>
          <w:szCs w:val="44"/>
        </w:rPr>
        <w:t>第二部分2023年度部门决算表</w:t>
      </w:r>
    </w:p>
    <w:p>
      <w:pPr>
        <w:autoSpaceDE w:val="0"/>
        <w:autoSpaceDN w:val="0"/>
        <w:adjustRightInd w:val="0"/>
        <w:spacing w:line="600" w:lineRule="exact"/>
        <w:jc w:val="left"/>
        <w:rPr>
          <w:rFonts w:ascii="Times New Roman" w:hAnsi="Times New Roman" w:eastAsia="方正小标宋简体" w:cs="Times New Roman"/>
          <w:color w:val="auto"/>
          <w:kern w:val="0"/>
          <w:sz w:val="24"/>
          <w:szCs w:val="24"/>
        </w:rPr>
      </w:pPr>
    </w:p>
    <w:p>
      <w:pPr>
        <w:keepNext/>
        <w:keepLines/>
        <w:autoSpaceDE w:val="0"/>
        <w:autoSpaceDN w:val="0"/>
        <w:adjustRightInd w:val="0"/>
        <w:spacing w:line="8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一、《收入支出决算总表》</w:t>
      </w:r>
    </w:p>
    <w:p>
      <w:pPr>
        <w:keepNext/>
        <w:keepLines/>
        <w:autoSpaceDE w:val="0"/>
        <w:autoSpaceDN w:val="0"/>
        <w:adjustRightInd w:val="0"/>
        <w:spacing w:line="8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二、《收入决算表（按功能分类列示）》</w:t>
      </w:r>
    </w:p>
    <w:p>
      <w:pPr>
        <w:keepNext/>
        <w:keepLines/>
        <w:autoSpaceDE w:val="0"/>
        <w:autoSpaceDN w:val="0"/>
        <w:adjustRightInd w:val="0"/>
        <w:spacing w:line="8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三、《收入决算表（按单位列示）》</w:t>
      </w:r>
    </w:p>
    <w:p>
      <w:pPr>
        <w:keepNext/>
        <w:keepLines/>
        <w:autoSpaceDE w:val="0"/>
        <w:autoSpaceDN w:val="0"/>
        <w:adjustRightInd w:val="0"/>
        <w:spacing w:line="8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四、《支出决算表》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五、《财政拨款收入支出决算总表》</w:t>
      </w:r>
    </w:p>
    <w:p>
      <w:pPr>
        <w:keepNext/>
        <w:keepLines/>
        <w:autoSpaceDE w:val="0"/>
        <w:autoSpaceDN w:val="0"/>
        <w:adjustRightInd w:val="0"/>
        <w:spacing w:line="8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六、《一般公共预算财政拨款支出决算表》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七、《一般公共预算财政拨款基本支出决算表》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八、《政府性基金预算财政拨款收入支出决算表》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九、《国有资本经营预算财政拨款收入支出决算表》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十、《财政拨款</w:t>
      </w:r>
      <w:r>
        <w:rPr>
          <w:rFonts w:ascii="Times New Roman" w:hAnsi="Times New Roman" w:eastAsia="黑体" w:cs="黑体"/>
          <w:color w:val="auto"/>
          <w:kern w:val="0"/>
          <w:sz w:val="30"/>
          <w:szCs w:val="30"/>
        </w:rPr>
        <w:t>“</w:t>
      </w:r>
      <w:r>
        <w:rPr>
          <w:rFonts w:hint="eastAsia" w:ascii="Times New Roman" w:hAnsi="Times New Roman" w:eastAsia="黑体" w:cs="黑体"/>
          <w:color w:val="auto"/>
          <w:kern w:val="0"/>
          <w:sz w:val="30"/>
          <w:szCs w:val="30"/>
        </w:rPr>
        <w:t>三公</w:t>
      </w:r>
      <w:r>
        <w:rPr>
          <w:rFonts w:ascii="Times New Roman" w:hAnsi="Times New Roman" w:eastAsia="黑体" w:cs="黑体"/>
          <w:color w:val="auto"/>
          <w:kern w:val="0"/>
          <w:sz w:val="30"/>
          <w:szCs w:val="30"/>
        </w:rPr>
        <w:t>”</w:t>
      </w:r>
      <w:r>
        <w:rPr>
          <w:rFonts w:hint="eastAsia" w:ascii="Times New Roman" w:hAnsi="Times New Roman" w:eastAsia="黑体" w:cs="黑体"/>
          <w:color w:val="auto"/>
          <w:kern w:val="0"/>
          <w:sz w:val="30"/>
          <w:szCs w:val="30"/>
        </w:rPr>
        <w:t>经费支出决算表》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color w:val="auto"/>
          <w:kern w:val="0"/>
          <w:sz w:val="30"/>
          <w:szCs w:val="30"/>
        </w:rPr>
      </w:pPr>
      <w:r>
        <w:rPr>
          <w:rFonts w:hint="eastAsia" w:ascii="Times New Roman" w:hAnsi="Times New Roman" w:eastAsia="黑体" w:cs="黑体"/>
          <w:color w:val="auto"/>
          <w:kern w:val="0"/>
          <w:sz w:val="30"/>
          <w:szCs w:val="30"/>
        </w:rPr>
        <w:t>十一、《项目支出决算表》</w:t>
      </w:r>
    </w:p>
    <w:p>
      <w:pPr>
        <w:autoSpaceDE w:val="0"/>
        <w:autoSpaceDN w:val="0"/>
        <w:adjustRightInd w:val="0"/>
        <w:spacing w:line="800" w:lineRule="exact"/>
        <w:jc w:val="left"/>
        <w:rPr>
          <w:rFonts w:ascii="Times New Roman" w:hAnsi="Times New Roman" w:eastAsia="楷体" w:cs="楷体"/>
          <w:color w:val="auto"/>
          <w:kern w:val="0"/>
          <w:sz w:val="30"/>
          <w:szCs w:val="30"/>
        </w:rPr>
      </w:pPr>
      <w:r>
        <w:rPr>
          <w:rFonts w:hint="eastAsia" w:ascii="Times New Roman" w:hAnsi="Times New Roman" w:eastAsia="楷体" w:cs="楷体"/>
          <w:color w:val="auto"/>
          <w:kern w:val="0"/>
          <w:sz w:val="30"/>
          <w:szCs w:val="30"/>
        </w:rPr>
        <w:t>注：以上决算公开表均作为附表，附于决算公开说明文档后。</w:t>
      </w:r>
    </w:p>
    <w:p>
      <w:pPr>
        <w:autoSpaceDE w:val="0"/>
        <w:autoSpaceDN w:val="0"/>
        <w:adjustRightInd w:val="0"/>
        <w:spacing w:line="600" w:lineRule="exact"/>
        <w:jc w:val="left"/>
        <w:rPr>
          <w:rFonts w:ascii="Times New Roman" w:hAnsi="Times New Roman" w:eastAsia="黑体" w:cs="黑体"/>
          <w:b/>
          <w:bCs/>
          <w:color w:val="auto"/>
          <w:kern w:val="0"/>
          <w:sz w:val="30"/>
          <w:szCs w:val="30"/>
        </w:rPr>
      </w:pPr>
      <w:r>
        <w:rPr>
          <w:rFonts w:ascii="Times New Roman" w:hAnsi="Times New Roman" w:eastAsia="楷体" w:cs="Times New Roman"/>
          <w:color w:val="auto"/>
          <w:kern w:val="0"/>
          <w:sz w:val="24"/>
          <w:szCs w:val="24"/>
        </w:rPr>
        <w:br w:type="page"/>
      </w:r>
      <w:r>
        <w:rPr>
          <w:rFonts w:hint="eastAsia" w:ascii="Times New Roman" w:hAnsi="Times New Roman" w:eastAsia="黑体" w:cs="黑体"/>
          <w:b/>
          <w:bCs/>
          <w:color w:val="auto"/>
          <w:kern w:val="0"/>
          <w:sz w:val="30"/>
          <w:szCs w:val="30"/>
        </w:rPr>
        <w:t>十二、关于空表的说明</w:t>
      </w:r>
    </w:p>
    <w:p>
      <w:pPr>
        <w:autoSpaceDE w:val="0"/>
        <w:autoSpaceDN w:val="0"/>
        <w:adjustRightInd w:val="0"/>
        <w:spacing w:line="600" w:lineRule="exact"/>
        <w:ind w:firstLine="601"/>
        <w:jc w:val="left"/>
        <w:rPr>
          <w:rFonts w:hint="eastAsia"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 xml:space="preserve">1.天津市南开区纪委监委综合服务中心2023年度政府性基金预算财政拨款收入支出决算表为空表。 </w:t>
      </w:r>
    </w:p>
    <w:p>
      <w:pPr>
        <w:autoSpaceDE w:val="0"/>
        <w:autoSpaceDN w:val="0"/>
        <w:adjustRightInd w:val="0"/>
        <w:spacing w:line="600" w:lineRule="exact"/>
        <w:ind w:firstLine="601"/>
        <w:jc w:val="left"/>
        <w:rPr>
          <w:rFonts w:hint="eastAsia"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2.天津市南开区纪委监委综合服务中心2023年度国有资本经营预算财政拨款收入支出决算表为空表。</w:t>
      </w:r>
    </w:p>
    <w:p>
      <w:pPr>
        <w:autoSpaceDE w:val="0"/>
        <w:autoSpaceDN w:val="0"/>
        <w:adjustRightInd w:val="0"/>
        <w:spacing w:line="600" w:lineRule="exact"/>
        <w:ind w:firstLine="601"/>
        <w:jc w:val="left"/>
        <w:rPr>
          <w:rFonts w:hint="eastAsia"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3.天津市南开区纪委监委综合服务中心2023年度财政拨款“三公”经费支出决算表为空表。</w:t>
      </w:r>
    </w:p>
    <w:p>
      <w:pPr>
        <w:autoSpaceDE w:val="0"/>
        <w:autoSpaceDN w:val="0"/>
        <w:adjustRightInd w:val="0"/>
        <w:spacing w:line="600" w:lineRule="exact"/>
        <w:ind w:firstLine="601"/>
        <w:jc w:val="left"/>
        <w:rPr>
          <w:rFonts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4.天津市南开区纪委监委综合服务中心项目支出决算表为空表。</w:t>
      </w:r>
    </w:p>
    <w:p>
      <w:pPr>
        <w:autoSpaceDE w:val="0"/>
        <w:autoSpaceDN w:val="0"/>
        <w:adjustRightInd w:val="0"/>
        <w:spacing w:line="600" w:lineRule="exact"/>
        <w:ind w:firstLine="601"/>
        <w:jc w:val="left"/>
        <w:rPr>
          <w:rFonts w:ascii="Times New Roman" w:hAnsi="Times New Roman" w:eastAsia="仿宋_GB2312" w:cs="仿宋_GB2312"/>
          <w:color w:val="auto"/>
          <w:sz w:val="30"/>
          <w:szCs w:val="30"/>
        </w:rPr>
      </w:pPr>
    </w:p>
    <w:p>
      <w:pPr>
        <w:keepNext/>
        <w:keepLines/>
        <w:autoSpaceDE w:val="0"/>
        <w:autoSpaceDN w:val="0"/>
        <w:adjustRightInd w:val="0"/>
        <w:spacing w:line="600" w:lineRule="exact"/>
        <w:ind w:firstLine="600"/>
        <w:jc w:val="left"/>
        <w:outlineLvl w:val="1"/>
        <w:rPr>
          <w:rFonts w:ascii="Times New Roman" w:hAnsi="Times New Roman" w:eastAsia="方正小标宋简体" w:cs="方正小标宋简体"/>
          <w:color w:val="auto"/>
          <w:kern w:val="44"/>
          <w:sz w:val="44"/>
          <w:szCs w:val="44"/>
        </w:rPr>
      </w:pPr>
      <w:r>
        <w:rPr>
          <w:rFonts w:hint="eastAsia" w:ascii="Times New Roman" w:hAnsi="Times New Roman" w:eastAsia="方正小标宋简体" w:cs="方正小标宋简体"/>
          <w:color w:val="auto"/>
          <w:kern w:val="44"/>
          <w:sz w:val="44"/>
          <w:szCs w:val="44"/>
        </w:rPr>
        <w:t>第三部分2023年度部门决算情况说明</w:t>
      </w:r>
    </w:p>
    <w:p>
      <w:pPr>
        <w:autoSpaceDE w:val="0"/>
        <w:autoSpaceDN w:val="0"/>
        <w:adjustRightInd w:val="0"/>
        <w:spacing w:line="580" w:lineRule="exact"/>
        <w:ind w:firstLine="600"/>
        <w:jc w:val="left"/>
        <w:rPr>
          <w:rFonts w:ascii="Times New Roman" w:hAnsi="Times New Roman" w:eastAsia="黑体" w:cs="黑体"/>
          <w:color w:val="auto"/>
          <w:sz w:val="30"/>
          <w:szCs w:val="30"/>
          <w:lang w:val="zh-CN"/>
        </w:rPr>
      </w:pP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lang w:val="zh-CN"/>
        </w:rPr>
      </w:pPr>
      <w:r>
        <w:rPr>
          <w:rFonts w:hint="eastAsia" w:ascii="Times New Roman" w:hAnsi="Times New Roman" w:eastAsia="黑体" w:cs="黑体"/>
          <w:b/>
          <w:bCs/>
          <w:color w:val="auto"/>
          <w:kern w:val="0"/>
          <w:sz w:val="30"/>
          <w:szCs w:val="30"/>
          <w:lang w:val="zh-CN"/>
        </w:rPr>
        <w:t>一、收入支出决算总体情况说明</w:t>
      </w:r>
    </w:p>
    <w:p>
      <w:pPr>
        <w:autoSpaceDE w:val="0"/>
        <w:autoSpaceDN w:val="0"/>
        <w:adjustRightInd w:val="0"/>
        <w:spacing w:line="600" w:lineRule="exact"/>
        <w:ind w:firstLine="600"/>
        <w:jc w:val="left"/>
        <w:rPr>
          <w:rFonts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lang w:val="zh-CN"/>
        </w:rPr>
        <w:t>天津市南开区纪委监委综合服务中心2023年度收入、支出决算总计</w:t>
      </w:r>
      <w:r>
        <w:rPr>
          <w:rFonts w:hint="eastAsia" w:ascii="Times New Roman" w:hAnsi="Times New Roman" w:eastAsia="仿宋_GB2312" w:cs="仿宋_GB2312"/>
          <w:color w:val="auto"/>
          <w:sz w:val="30"/>
          <w:szCs w:val="30"/>
        </w:rPr>
        <w:t>870,593.71元，与2022年度相比，收、支总计各增加169,717.98元，增长24.22%，</w:t>
      </w:r>
      <w:r>
        <w:rPr>
          <w:rFonts w:hint="eastAsia" w:ascii="Times New Roman" w:hAnsi="Times New Roman" w:eastAsia="仿宋_GB2312" w:cs="仿宋_GB2312"/>
          <w:color w:val="auto"/>
          <w:sz w:val="30"/>
          <w:szCs w:val="30"/>
          <w:lang w:val="zh-CN"/>
        </w:rPr>
        <w:t>主要原因是</w:t>
      </w:r>
      <w:r>
        <w:rPr>
          <w:rFonts w:hint="eastAsia" w:ascii="Times New Roman" w:hAnsi="Times New Roman" w:eastAsia="仿宋_GB2312" w:cs="仿宋_GB2312"/>
          <w:color w:val="auto"/>
          <w:sz w:val="30"/>
          <w:szCs w:val="30"/>
        </w:rPr>
        <w:t>：本年度增加在职人员。</w:t>
      </w: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rPr>
      </w:pPr>
      <w:r>
        <w:rPr>
          <w:rFonts w:hint="eastAsia" w:ascii="Times New Roman" w:hAnsi="Times New Roman" w:eastAsia="黑体" w:cs="黑体"/>
          <w:b/>
          <w:bCs/>
          <w:color w:val="auto"/>
          <w:kern w:val="0"/>
          <w:sz w:val="30"/>
          <w:szCs w:val="30"/>
          <w:lang w:val="zh-CN"/>
        </w:rPr>
        <w:t>二、</w:t>
      </w:r>
      <w:r>
        <w:rPr>
          <w:rFonts w:hint="eastAsia" w:ascii="Times New Roman" w:hAnsi="Times New Roman" w:eastAsia="黑体" w:cs="黑体"/>
          <w:b/>
          <w:bCs/>
          <w:color w:val="auto"/>
          <w:kern w:val="0"/>
          <w:sz w:val="30"/>
          <w:szCs w:val="30"/>
        </w:rPr>
        <w:t>收入决算情况</w:t>
      </w:r>
      <w:r>
        <w:rPr>
          <w:rFonts w:hint="eastAsia" w:ascii="Times New Roman" w:hAnsi="Times New Roman" w:eastAsia="黑体" w:cs="黑体"/>
          <w:b/>
          <w:bCs/>
          <w:color w:val="auto"/>
          <w:kern w:val="0"/>
          <w:sz w:val="30"/>
          <w:szCs w:val="30"/>
          <w:lang w:val="zh-CN"/>
        </w:rPr>
        <w:t>说明</w:t>
      </w:r>
    </w:p>
    <w:p>
      <w:pPr>
        <w:autoSpaceDE w:val="0"/>
        <w:autoSpaceDN w:val="0"/>
        <w:adjustRightInd w:val="0"/>
        <w:spacing w:line="600" w:lineRule="exact"/>
        <w:ind w:firstLine="600"/>
        <w:jc w:val="left"/>
        <w:rPr>
          <w:rFonts w:ascii="Times New Roman" w:hAnsi="Times New Roman" w:eastAsia="仿宋_GB2312" w:cs="仿宋_GB2312"/>
          <w:color w:val="auto"/>
          <w:kern w:val="0"/>
          <w:sz w:val="30"/>
          <w:szCs w:val="30"/>
        </w:rPr>
      </w:pPr>
      <w:r>
        <w:rPr>
          <w:rFonts w:hint="eastAsia" w:ascii="Times New Roman" w:hAnsi="Times New Roman" w:eastAsia="仿宋_GB2312" w:cs="仿宋_GB2312"/>
          <w:color w:val="auto"/>
          <w:sz w:val="30"/>
          <w:szCs w:val="30"/>
        </w:rPr>
        <w:t>天津市南开区纪委监委综合服务中心</w:t>
      </w:r>
      <w:r>
        <w:rPr>
          <w:rFonts w:hint="eastAsia" w:ascii="Times New Roman" w:hAnsi="Times New Roman" w:eastAsia="仿宋_GB2312" w:cs="Times New Roman"/>
          <w:color w:val="auto"/>
          <w:sz w:val="30"/>
          <w:szCs w:val="30"/>
        </w:rPr>
        <w:t>2023</w:t>
      </w:r>
      <w:r>
        <w:rPr>
          <w:rFonts w:hint="eastAsia" w:ascii="Times New Roman" w:hAnsi="Times New Roman" w:eastAsia="仿宋_GB2312" w:cs="仿宋_GB2312"/>
          <w:color w:val="auto"/>
          <w:sz w:val="30"/>
          <w:szCs w:val="30"/>
          <w:lang w:val="zh-CN"/>
        </w:rPr>
        <w:t>年度本年收入合计</w:t>
      </w:r>
      <w:r>
        <w:rPr>
          <w:rFonts w:hint="eastAsia" w:ascii="Times New Roman" w:hAnsi="Times New Roman" w:eastAsia="仿宋_GB2312" w:cs="Times New Roman"/>
          <w:color w:val="auto"/>
          <w:sz w:val="30"/>
          <w:szCs w:val="30"/>
        </w:rPr>
        <w:t>870,593.71</w:t>
      </w:r>
      <w:r>
        <w:rPr>
          <w:rFonts w:hint="eastAsia" w:ascii="Times New Roman" w:hAnsi="Times New Roman" w:eastAsia="仿宋_GB2312" w:cs="仿宋_GB2312"/>
          <w:color w:val="auto"/>
          <w:sz w:val="30"/>
          <w:szCs w:val="30"/>
        </w:rPr>
        <w:t>元，与</w:t>
      </w:r>
      <w:r>
        <w:rPr>
          <w:rFonts w:hint="eastAsia" w:ascii="Times New Roman" w:hAnsi="Times New Roman" w:eastAsia="仿宋_GB2312" w:cs="Times New Roman"/>
          <w:color w:val="auto"/>
          <w:sz w:val="30"/>
          <w:szCs w:val="30"/>
        </w:rPr>
        <w:t>2022</w:t>
      </w:r>
      <w:r>
        <w:rPr>
          <w:rFonts w:hint="eastAsia" w:ascii="Times New Roman" w:hAnsi="Times New Roman" w:eastAsia="仿宋_GB2312" w:cs="仿宋_GB2312"/>
          <w:color w:val="auto"/>
          <w:sz w:val="30"/>
          <w:szCs w:val="30"/>
        </w:rPr>
        <w:t>年度相比增加170,262.46元，</w:t>
      </w:r>
      <w:r>
        <w:rPr>
          <w:rFonts w:hint="eastAsia" w:ascii="Times New Roman" w:hAnsi="Times New Roman" w:eastAsia="仿宋_GB2312" w:cs="仿宋_GB2312"/>
          <w:color w:val="auto"/>
          <w:kern w:val="0"/>
          <w:sz w:val="30"/>
          <w:szCs w:val="30"/>
          <w:lang w:val="zh-CN"/>
        </w:rPr>
        <w:t>主要原因是</w:t>
      </w:r>
      <w:r>
        <w:rPr>
          <w:rFonts w:hint="eastAsia" w:ascii="Times New Roman" w:hAnsi="Times New Roman" w:eastAsia="仿宋_GB2312" w:cs="仿宋_GB2312"/>
          <w:color w:val="auto"/>
          <w:kern w:val="0"/>
          <w:sz w:val="30"/>
          <w:szCs w:val="30"/>
        </w:rPr>
        <w:t>：本年度增加在职人员。</w:t>
      </w:r>
    </w:p>
    <w:p>
      <w:pPr>
        <w:autoSpaceDE w:val="0"/>
        <w:autoSpaceDN w:val="0"/>
        <w:adjustRightInd w:val="0"/>
        <w:spacing w:line="600" w:lineRule="exact"/>
        <w:ind w:firstLine="600"/>
        <w:jc w:val="left"/>
        <w:rPr>
          <w:rFonts w:ascii="Times New Roman" w:hAnsi="Times New Roman" w:eastAsia="宋体" w:cs="Times New Roman"/>
          <w:color w:val="auto"/>
          <w:sz w:val="30"/>
          <w:szCs w:val="30"/>
        </w:rPr>
      </w:pPr>
      <w:r>
        <w:rPr>
          <w:rFonts w:hint="eastAsia" w:ascii="Times New Roman" w:hAnsi="Times New Roman" w:eastAsia="仿宋_GB2312" w:cs="仿宋_GB2312"/>
          <w:color w:val="auto"/>
          <w:sz w:val="30"/>
          <w:szCs w:val="30"/>
        </w:rPr>
        <w:t>其中：</w:t>
      </w:r>
      <w:r>
        <w:rPr>
          <w:rFonts w:ascii="Times New Roman" w:hAnsi="Times New Roman" w:eastAsia="仿宋_GB2312" w:cs="仿宋_GB2312"/>
          <w:color w:val="auto"/>
          <w:sz w:val="30"/>
          <w:szCs w:val="30"/>
          <w:lang w:val="zh-CN"/>
        </w:rPr>
        <w:t>一般公共预算财政拨款收入</w:t>
      </w:r>
      <w:r>
        <w:rPr>
          <w:rFonts w:hint="eastAsia" w:ascii="Times New Roman" w:hAnsi="Times New Roman" w:eastAsia="仿宋_GB2312" w:cs="Times New Roman"/>
          <w:color w:val="auto"/>
          <w:sz w:val="30"/>
          <w:szCs w:val="30"/>
        </w:rPr>
        <w:t>870,590.67</w:t>
      </w:r>
      <w:r>
        <w:rPr>
          <w:rFonts w:hint="eastAsia" w:ascii="Times New Roman" w:hAnsi="Times New Roman" w:eastAsia="仿宋_GB2312" w:cs="仿宋_GB2312"/>
          <w:color w:val="auto"/>
          <w:sz w:val="30"/>
          <w:szCs w:val="30"/>
          <w:lang w:val="zh-CN"/>
        </w:rPr>
        <w:t>元</w:t>
      </w:r>
      <w:r>
        <w:rPr>
          <w:rFonts w:ascii="Times New Roman" w:hAnsi="Times New Roman" w:eastAsia="仿宋_GB2312" w:cs="仿宋_GB2312"/>
          <w:color w:val="auto"/>
          <w:sz w:val="30"/>
          <w:szCs w:val="30"/>
          <w:lang w:val="zh-CN"/>
        </w:rPr>
        <w:t>，占</w:t>
      </w:r>
      <w:r>
        <w:rPr>
          <w:rFonts w:hint="eastAsia" w:ascii="Times New Roman" w:hAnsi="Times New Roman" w:eastAsia="仿宋_GB2312" w:cs="Times New Roman"/>
          <w:color w:val="auto"/>
          <w:sz w:val="30"/>
          <w:szCs w:val="30"/>
        </w:rPr>
        <w:t>100.0</w:t>
      </w:r>
      <w:r>
        <w:rPr>
          <w:rFonts w:hint="eastAsia" w:ascii="Times New Roman" w:hAnsi="Times New Roman" w:eastAsia="宋体" w:cs="Times New Roman"/>
          <w:color w:val="auto"/>
          <w:sz w:val="30"/>
          <w:szCs w:val="30"/>
        </w:rPr>
        <w:t>%；</w:t>
      </w:r>
    </w:p>
    <w:p>
      <w:pPr>
        <w:autoSpaceDE w:val="0"/>
        <w:autoSpaceDN w:val="0"/>
        <w:adjustRightInd w:val="0"/>
        <w:spacing w:line="600" w:lineRule="exact"/>
        <w:ind w:firstLine="600" w:firstLineChars="200"/>
        <w:jc w:val="left"/>
        <w:rPr>
          <w:rFonts w:ascii="Times New Roman" w:hAnsi="Times New Roman" w:eastAsia="仿宋_GB2312" w:cs="仿宋_GB2312"/>
          <w:color w:val="auto"/>
          <w:sz w:val="30"/>
          <w:szCs w:val="30"/>
          <w:lang w:val="zh-CN"/>
        </w:rPr>
      </w:pPr>
      <w:r>
        <w:rPr>
          <w:rFonts w:ascii="Times New Roman" w:hAnsi="Times New Roman" w:eastAsia="仿宋_GB2312" w:cs="仿宋_GB2312"/>
          <w:color w:val="auto"/>
          <w:sz w:val="30"/>
          <w:szCs w:val="30"/>
          <w:lang w:val="zh-CN"/>
        </w:rPr>
        <w:t>政府性基金预算财政拨款收入</w:t>
      </w:r>
      <w:r>
        <w:rPr>
          <w:rFonts w:hint="eastAsia" w:ascii="Times New Roman" w:hAnsi="Times New Roman" w:eastAsia="仿宋_GB2312" w:cs="仿宋_GB2312"/>
          <w:color w:val="auto"/>
          <w:sz w:val="30"/>
          <w:szCs w:val="30"/>
          <w:lang w:val="zh-CN"/>
        </w:rPr>
        <w:t>0.00元</w:t>
      </w:r>
      <w:r>
        <w:rPr>
          <w:rFonts w:ascii="Times New Roman" w:hAnsi="Times New Roman" w:eastAsia="仿宋_GB2312" w:cs="仿宋_GB2312"/>
          <w:color w:val="auto"/>
          <w:sz w:val="30"/>
          <w:szCs w:val="30"/>
          <w:lang w:val="zh-CN"/>
        </w:rPr>
        <w:t>，</w:t>
      </w:r>
      <w:r>
        <w:rPr>
          <w:rFonts w:hint="eastAsia" w:ascii="Times New Roman" w:hAnsi="Times New Roman" w:eastAsia="仿宋_GB2312" w:cs="仿宋_GB2312"/>
          <w:color w:val="auto"/>
          <w:kern w:val="0"/>
          <w:sz w:val="30"/>
          <w:szCs w:val="30"/>
        </w:rPr>
        <w:t>占</w:t>
      </w:r>
      <w:r>
        <w:rPr>
          <w:rFonts w:hint="eastAsia" w:ascii="Times New Roman" w:hAnsi="Times New Roman" w:eastAsia="仿宋_GB2312" w:cs="仿宋_GB2312"/>
          <w:color w:val="auto"/>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color w:val="auto"/>
          <w:sz w:val="30"/>
          <w:szCs w:val="30"/>
          <w:lang w:val="zh-CN"/>
        </w:rPr>
      </w:pPr>
      <w:r>
        <w:rPr>
          <w:rFonts w:ascii="Times New Roman" w:hAnsi="Times New Roman" w:eastAsia="仿宋_GB2312" w:cs="仿宋_GB2312"/>
          <w:color w:val="auto"/>
          <w:sz w:val="30"/>
          <w:szCs w:val="30"/>
          <w:lang w:val="zh-CN"/>
        </w:rPr>
        <w:t>国有资本经营预算财政拨款收入</w:t>
      </w:r>
      <w:r>
        <w:rPr>
          <w:rFonts w:hint="eastAsia" w:ascii="Times New Roman" w:hAnsi="Times New Roman" w:eastAsia="仿宋_GB2312" w:cs="仿宋_GB2312"/>
          <w:color w:val="auto"/>
          <w:sz w:val="30"/>
          <w:szCs w:val="30"/>
          <w:lang w:val="zh-CN"/>
        </w:rPr>
        <w:t>0.00元</w:t>
      </w:r>
      <w:r>
        <w:rPr>
          <w:rFonts w:ascii="Times New Roman" w:hAnsi="Times New Roman" w:eastAsia="仿宋_GB2312" w:cs="仿宋_GB2312"/>
          <w:color w:val="auto"/>
          <w:sz w:val="30"/>
          <w:szCs w:val="30"/>
          <w:lang w:val="zh-CN"/>
        </w:rPr>
        <w:t>，</w:t>
      </w:r>
      <w:r>
        <w:rPr>
          <w:rFonts w:hint="eastAsia" w:ascii="Times New Roman" w:hAnsi="Times New Roman" w:eastAsia="仿宋_GB2312" w:cs="仿宋_GB2312"/>
          <w:color w:val="auto"/>
          <w:kern w:val="0"/>
          <w:sz w:val="30"/>
          <w:szCs w:val="30"/>
        </w:rPr>
        <w:t>占</w:t>
      </w:r>
      <w:r>
        <w:rPr>
          <w:rFonts w:hint="eastAsia" w:ascii="Times New Roman" w:hAnsi="Times New Roman" w:eastAsia="仿宋_GB2312" w:cs="仿宋_GB2312"/>
          <w:color w:val="auto"/>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color w:val="auto"/>
          <w:sz w:val="30"/>
          <w:szCs w:val="30"/>
          <w:lang w:val="zh-CN"/>
        </w:rPr>
      </w:pPr>
      <w:r>
        <w:rPr>
          <w:rFonts w:ascii="Times New Roman" w:hAnsi="Times New Roman" w:eastAsia="仿宋_GB2312" w:cs="仿宋_GB2312"/>
          <w:color w:val="auto"/>
          <w:sz w:val="30"/>
          <w:szCs w:val="30"/>
          <w:lang w:val="zh-CN"/>
        </w:rPr>
        <w:t>财政专户管理资金收入</w:t>
      </w:r>
      <w:r>
        <w:rPr>
          <w:rFonts w:hint="eastAsia" w:ascii="Times New Roman" w:hAnsi="Times New Roman" w:eastAsia="仿宋_GB2312" w:cs="仿宋_GB2312"/>
          <w:color w:val="auto"/>
          <w:sz w:val="30"/>
          <w:szCs w:val="30"/>
          <w:lang w:val="zh-CN"/>
        </w:rPr>
        <w:t>0.00元</w:t>
      </w:r>
      <w:r>
        <w:rPr>
          <w:rFonts w:ascii="Times New Roman" w:hAnsi="Times New Roman" w:eastAsia="仿宋_GB2312" w:cs="仿宋_GB2312"/>
          <w:color w:val="auto"/>
          <w:sz w:val="30"/>
          <w:szCs w:val="30"/>
          <w:lang w:val="zh-CN"/>
        </w:rPr>
        <w:t>，</w:t>
      </w:r>
      <w:r>
        <w:rPr>
          <w:rFonts w:hint="eastAsia" w:ascii="Times New Roman" w:hAnsi="Times New Roman" w:eastAsia="仿宋_GB2312" w:cs="仿宋_GB2312"/>
          <w:color w:val="auto"/>
          <w:kern w:val="0"/>
          <w:sz w:val="30"/>
          <w:szCs w:val="30"/>
        </w:rPr>
        <w:t>占</w:t>
      </w:r>
      <w:r>
        <w:rPr>
          <w:rFonts w:hint="eastAsia" w:ascii="Times New Roman" w:hAnsi="Times New Roman" w:eastAsia="仿宋_GB2312" w:cs="仿宋_GB2312"/>
          <w:color w:val="auto"/>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color w:val="auto"/>
          <w:sz w:val="30"/>
          <w:szCs w:val="30"/>
          <w:lang w:val="zh-CN"/>
        </w:rPr>
      </w:pPr>
      <w:r>
        <w:rPr>
          <w:rFonts w:ascii="Times New Roman" w:hAnsi="Times New Roman" w:eastAsia="仿宋_GB2312" w:cs="仿宋_GB2312"/>
          <w:color w:val="auto"/>
          <w:sz w:val="30"/>
          <w:szCs w:val="30"/>
          <w:lang w:val="zh-CN"/>
        </w:rPr>
        <w:t>事业收入</w:t>
      </w:r>
      <w:r>
        <w:rPr>
          <w:rFonts w:hint="eastAsia" w:ascii="Times New Roman" w:hAnsi="Times New Roman" w:eastAsia="仿宋_GB2312" w:cs="仿宋_GB2312"/>
          <w:color w:val="auto"/>
          <w:sz w:val="30"/>
          <w:szCs w:val="30"/>
          <w:lang w:val="zh-CN"/>
        </w:rPr>
        <w:t>0.00元</w:t>
      </w:r>
      <w:r>
        <w:rPr>
          <w:rFonts w:ascii="Times New Roman" w:hAnsi="Times New Roman" w:eastAsia="仿宋_GB2312" w:cs="仿宋_GB2312"/>
          <w:color w:val="auto"/>
          <w:sz w:val="30"/>
          <w:szCs w:val="30"/>
          <w:lang w:val="zh-CN"/>
        </w:rPr>
        <w:t>，</w:t>
      </w:r>
      <w:r>
        <w:rPr>
          <w:rFonts w:hint="eastAsia" w:ascii="Times New Roman" w:hAnsi="Times New Roman" w:eastAsia="仿宋_GB2312" w:cs="仿宋_GB2312"/>
          <w:color w:val="auto"/>
          <w:kern w:val="0"/>
          <w:sz w:val="30"/>
          <w:szCs w:val="30"/>
        </w:rPr>
        <w:t>占</w:t>
      </w:r>
      <w:r>
        <w:rPr>
          <w:rFonts w:hint="eastAsia" w:ascii="Times New Roman" w:hAnsi="Times New Roman" w:eastAsia="仿宋_GB2312" w:cs="仿宋_GB2312"/>
          <w:color w:val="auto"/>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color w:val="auto"/>
          <w:sz w:val="30"/>
          <w:szCs w:val="30"/>
          <w:lang w:val="zh-CN"/>
        </w:rPr>
      </w:pPr>
      <w:r>
        <w:rPr>
          <w:rFonts w:ascii="Times New Roman" w:hAnsi="Times New Roman" w:eastAsia="仿宋_GB2312" w:cs="仿宋_GB2312"/>
          <w:color w:val="auto"/>
          <w:sz w:val="30"/>
          <w:szCs w:val="30"/>
          <w:lang w:val="zh-CN"/>
        </w:rPr>
        <w:t>事业单位经营收入</w:t>
      </w:r>
      <w:r>
        <w:rPr>
          <w:rFonts w:hint="eastAsia" w:ascii="Times New Roman" w:hAnsi="Times New Roman" w:eastAsia="仿宋_GB2312" w:cs="仿宋_GB2312"/>
          <w:color w:val="auto"/>
          <w:sz w:val="30"/>
          <w:szCs w:val="30"/>
          <w:lang w:val="zh-CN"/>
        </w:rPr>
        <w:t>0.00元</w:t>
      </w:r>
      <w:r>
        <w:rPr>
          <w:rFonts w:ascii="Times New Roman" w:hAnsi="Times New Roman" w:eastAsia="仿宋_GB2312" w:cs="仿宋_GB2312"/>
          <w:color w:val="auto"/>
          <w:sz w:val="30"/>
          <w:szCs w:val="30"/>
          <w:lang w:val="zh-CN"/>
        </w:rPr>
        <w:t>，</w:t>
      </w:r>
      <w:r>
        <w:rPr>
          <w:rFonts w:hint="eastAsia" w:ascii="Times New Roman" w:hAnsi="Times New Roman" w:eastAsia="仿宋_GB2312" w:cs="仿宋_GB2312"/>
          <w:color w:val="auto"/>
          <w:kern w:val="0"/>
          <w:sz w:val="30"/>
          <w:szCs w:val="30"/>
        </w:rPr>
        <w:t>占</w:t>
      </w:r>
      <w:r>
        <w:rPr>
          <w:rFonts w:hint="eastAsia" w:ascii="Times New Roman" w:hAnsi="Times New Roman" w:eastAsia="仿宋_GB2312" w:cs="仿宋_GB2312"/>
          <w:color w:val="auto"/>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color w:val="auto"/>
          <w:sz w:val="30"/>
          <w:szCs w:val="30"/>
          <w:lang w:val="zh-CN"/>
        </w:rPr>
      </w:pPr>
      <w:r>
        <w:rPr>
          <w:rFonts w:ascii="Times New Roman" w:hAnsi="Times New Roman" w:eastAsia="仿宋_GB2312" w:cs="仿宋_GB2312"/>
          <w:color w:val="auto"/>
          <w:sz w:val="30"/>
          <w:szCs w:val="30"/>
          <w:lang w:val="zh-CN"/>
        </w:rPr>
        <w:t>上级补助收入</w:t>
      </w:r>
      <w:r>
        <w:rPr>
          <w:rFonts w:hint="eastAsia" w:ascii="Times New Roman" w:hAnsi="Times New Roman" w:eastAsia="仿宋_GB2312" w:cs="仿宋_GB2312"/>
          <w:color w:val="auto"/>
          <w:sz w:val="30"/>
          <w:szCs w:val="30"/>
          <w:lang w:val="zh-CN"/>
        </w:rPr>
        <w:t>0.00元</w:t>
      </w:r>
      <w:r>
        <w:rPr>
          <w:rFonts w:ascii="Times New Roman" w:hAnsi="Times New Roman" w:eastAsia="仿宋_GB2312" w:cs="仿宋_GB2312"/>
          <w:color w:val="auto"/>
          <w:sz w:val="30"/>
          <w:szCs w:val="30"/>
          <w:lang w:val="zh-CN"/>
        </w:rPr>
        <w:t>，</w:t>
      </w:r>
      <w:r>
        <w:rPr>
          <w:rFonts w:hint="eastAsia" w:ascii="Times New Roman" w:hAnsi="Times New Roman" w:eastAsia="仿宋_GB2312" w:cs="仿宋_GB2312"/>
          <w:color w:val="auto"/>
          <w:kern w:val="0"/>
          <w:sz w:val="30"/>
          <w:szCs w:val="30"/>
        </w:rPr>
        <w:t>占</w:t>
      </w:r>
      <w:r>
        <w:rPr>
          <w:rFonts w:hint="eastAsia" w:ascii="Times New Roman" w:hAnsi="Times New Roman" w:eastAsia="仿宋_GB2312" w:cs="仿宋_GB2312"/>
          <w:color w:val="auto"/>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color w:val="auto"/>
          <w:sz w:val="30"/>
          <w:szCs w:val="30"/>
          <w:lang w:val="zh-CN"/>
        </w:rPr>
      </w:pPr>
      <w:r>
        <w:rPr>
          <w:rFonts w:eastAsia="仿宋_GB2312"/>
          <w:color w:val="auto"/>
          <w:sz w:val="30"/>
          <w:szCs w:val="30"/>
        </w:rPr>
        <w:t>附属单位上缴收入</w:t>
      </w:r>
      <w:r>
        <w:rPr>
          <w:rFonts w:hint="eastAsia" w:ascii="Times New Roman" w:hAnsi="Times New Roman" w:eastAsia="仿宋_GB2312" w:cs="仿宋_GB2312"/>
          <w:color w:val="auto"/>
          <w:sz w:val="30"/>
          <w:szCs w:val="30"/>
          <w:lang w:val="zh-CN"/>
        </w:rPr>
        <w:t>0.00元</w:t>
      </w:r>
      <w:r>
        <w:rPr>
          <w:rFonts w:ascii="Times New Roman" w:hAnsi="Times New Roman" w:eastAsia="仿宋_GB2312" w:cs="仿宋_GB2312"/>
          <w:color w:val="auto"/>
          <w:sz w:val="30"/>
          <w:szCs w:val="30"/>
          <w:lang w:val="zh-CN"/>
        </w:rPr>
        <w:t>，</w:t>
      </w:r>
      <w:r>
        <w:rPr>
          <w:rFonts w:hint="eastAsia" w:ascii="Times New Roman" w:hAnsi="Times New Roman" w:eastAsia="仿宋_GB2312" w:cs="仿宋_GB2312"/>
          <w:color w:val="auto"/>
          <w:kern w:val="0"/>
          <w:sz w:val="30"/>
          <w:szCs w:val="30"/>
        </w:rPr>
        <w:t>占</w:t>
      </w:r>
      <w:r>
        <w:rPr>
          <w:rFonts w:hint="eastAsia" w:ascii="Times New Roman" w:hAnsi="Times New Roman" w:eastAsia="仿宋_GB2312" w:cs="仿宋_GB2312"/>
          <w:color w:val="auto"/>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color w:val="auto"/>
          <w:sz w:val="30"/>
          <w:szCs w:val="30"/>
        </w:rPr>
      </w:pPr>
      <w:r>
        <w:rPr>
          <w:rFonts w:ascii="Times New Roman" w:hAnsi="Times New Roman" w:eastAsia="仿宋_GB2312" w:cs="仿宋_GB2312"/>
          <w:color w:val="auto"/>
          <w:sz w:val="30"/>
          <w:szCs w:val="30"/>
          <w:lang w:val="zh-CN"/>
        </w:rPr>
        <w:t>其他收入</w:t>
      </w:r>
      <w:r>
        <w:rPr>
          <w:rFonts w:hint="eastAsia" w:ascii="Times New Roman" w:hAnsi="Times New Roman" w:eastAsia="仿宋_GB2312" w:cs="仿宋_GB2312"/>
          <w:color w:val="auto"/>
          <w:sz w:val="30"/>
          <w:szCs w:val="30"/>
          <w:lang w:val="zh-CN"/>
        </w:rPr>
        <w:t>3.04元</w:t>
      </w:r>
      <w:r>
        <w:rPr>
          <w:rFonts w:ascii="Times New Roman" w:hAnsi="Times New Roman" w:eastAsia="仿宋_GB2312" w:cs="仿宋_GB2312"/>
          <w:color w:val="auto"/>
          <w:sz w:val="30"/>
          <w:szCs w:val="30"/>
          <w:lang w:val="zh-CN"/>
        </w:rPr>
        <w:t>，</w:t>
      </w:r>
      <w:r>
        <w:rPr>
          <w:rFonts w:hint="eastAsia" w:ascii="Times New Roman" w:hAnsi="Times New Roman" w:eastAsia="仿宋_GB2312" w:cs="仿宋_GB2312"/>
          <w:color w:val="auto"/>
          <w:kern w:val="0"/>
          <w:sz w:val="30"/>
          <w:szCs w:val="30"/>
        </w:rPr>
        <w:t>占</w:t>
      </w:r>
      <w:r>
        <w:rPr>
          <w:rFonts w:hint="eastAsia" w:ascii="Times New Roman" w:hAnsi="Times New Roman" w:eastAsia="仿宋_GB2312" w:cs="仿宋_GB2312"/>
          <w:color w:val="auto"/>
          <w:sz w:val="30"/>
          <w:szCs w:val="30"/>
          <w:lang w:val="zh-CN"/>
        </w:rPr>
        <w:t>0.0%。</w:t>
      </w: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rPr>
      </w:pPr>
      <w:r>
        <w:rPr>
          <w:rFonts w:hint="eastAsia" w:ascii="Times New Roman" w:hAnsi="Times New Roman" w:eastAsia="黑体" w:cs="黑体"/>
          <w:b/>
          <w:bCs/>
          <w:color w:val="auto"/>
          <w:kern w:val="0"/>
          <w:sz w:val="30"/>
          <w:szCs w:val="30"/>
          <w:lang w:val="zh-CN"/>
        </w:rPr>
        <w:t>三、支出</w:t>
      </w:r>
      <w:r>
        <w:rPr>
          <w:rFonts w:hint="eastAsia" w:ascii="Times New Roman" w:hAnsi="Times New Roman" w:eastAsia="黑体" w:cs="黑体"/>
          <w:b/>
          <w:bCs/>
          <w:color w:val="auto"/>
          <w:kern w:val="0"/>
          <w:sz w:val="30"/>
          <w:szCs w:val="30"/>
        </w:rPr>
        <w:t>决算情况说明</w:t>
      </w:r>
    </w:p>
    <w:p>
      <w:pPr>
        <w:autoSpaceDE w:val="0"/>
        <w:autoSpaceDN w:val="0"/>
        <w:adjustRightInd w:val="0"/>
        <w:spacing w:line="580" w:lineRule="exact"/>
        <w:ind w:firstLine="600"/>
        <w:jc w:val="left"/>
        <w:rPr>
          <w:rFonts w:ascii="Times New Roman" w:hAnsi="Times New Roman" w:eastAsia="仿宋_GB2312" w:cs="仿宋_GB2312"/>
          <w:color w:val="auto"/>
          <w:kern w:val="0"/>
          <w:sz w:val="30"/>
          <w:szCs w:val="30"/>
        </w:rPr>
      </w:pPr>
      <w:r>
        <w:rPr>
          <w:rFonts w:hint="eastAsia" w:ascii="Times New Roman" w:hAnsi="Times New Roman" w:eastAsia="仿宋_GB2312" w:cs="仿宋_GB2312"/>
          <w:color w:val="auto"/>
          <w:sz w:val="30"/>
          <w:szCs w:val="30"/>
        </w:rPr>
        <w:t>天津市南开区纪委监委综合服务中心</w:t>
      </w:r>
      <w:r>
        <w:rPr>
          <w:rFonts w:hint="eastAsia" w:ascii="Times New Roman" w:hAnsi="Times New Roman" w:eastAsia="宋体" w:cs="宋体"/>
          <w:color w:val="auto"/>
          <w:sz w:val="30"/>
          <w:szCs w:val="30"/>
        </w:rPr>
        <w:t>2023</w:t>
      </w:r>
      <w:r>
        <w:rPr>
          <w:rFonts w:hint="eastAsia" w:ascii="Times New Roman" w:hAnsi="Times New Roman" w:eastAsia="仿宋_GB2312" w:cs="仿宋_GB2312"/>
          <w:color w:val="auto"/>
          <w:sz w:val="30"/>
          <w:szCs w:val="30"/>
        </w:rPr>
        <w:t>年度本年支出合计870,590.67元，与</w:t>
      </w:r>
      <w:r>
        <w:rPr>
          <w:rFonts w:hint="eastAsia" w:ascii="Times New Roman" w:hAnsi="Times New Roman" w:eastAsia="仿宋_GB2312" w:cs="Times New Roman"/>
          <w:color w:val="auto"/>
          <w:sz w:val="30"/>
          <w:szCs w:val="30"/>
        </w:rPr>
        <w:t>2022</w:t>
      </w:r>
      <w:r>
        <w:rPr>
          <w:rFonts w:hint="eastAsia" w:ascii="Times New Roman" w:hAnsi="Times New Roman" w:eastAsia="仿宋_GB2312" w:cs="仿宋_GB2312"/>
          <w:color w:val="auto"/>
          <w:sz w:val="30"/>
          <w:szCs w:val="30"/>
        </w:rPr>
        <w:t>年度相比增加170,272.93元，</w:t>
      </w:r>
      <w:r>
        <w:rPr>
          <w:rFonts w:hint="eastAsia" w:ascii="Times New Roman" w:hAnsi="Times New Roman" w:eastAsia="仿宋_GB2312" w:cs="仿宋_GB2312"/>
          <w:color w:val="auto"/>
          <w:sz w:val="30"/>
          <w:szCs w:val="30"/>
          <w:lang w:val="zh-CN"/>
        </w:rPr>
        <w:t>主要原因是</w:t>
      </w:r>
      <w:r>
        <w:rPr>
          <w:rFonts w:hint="eastAsia" w:ascii="Times New Roman" w:hAnsi="Times New Roman" w:eastAsia="仿宋_GB2312" w:cs="仿宋_GB2312"/>
          <w:color w:val="auto"/>
          <w:sz w:val="30"/>
          <w:szCs w:val="30"/>
        </w:rPr>
        <w:t>：</w:t>
      </w:r>
      <w:r>
        <w:rPr>
          <w:rFonts w:hint="eastAsia" w:ascii="Times New Roman" w:hAnsi="Times New Roman" w:eastAsia="仿宋_GB2312" w:cs="仿宋_GB2312"/>
          <w:color w:val="auto"/>
          <w:kern w:val="0"/>
          <w:sz w:val="30"/>
          <w:szCs w:val="30"/>
        </w:rPr>
        <w:t>本年度增加在职人员，</w:t>
      </w:r>
      <w:r>
        <w:rPr>
          <w:rFonts w:hint="eastAsia" w:ascii="Times New Roman" w:hAnsi="Times New Roman" w:eastAsia="仿宋_GB2312" w:cs="仿宋_GB2312"/>
          <w:color w:val="auto"/>
          <w:sz w:val="30"/>
          <w:szCs w:val="30"/>
        </w:rPr>
        <w:t>支出增</w:t>
      </w:r>
      <w:r>
        <w:rPr>
          <w:rFonts w:hint="eastAsia" w:ascii="Times New Roman" w:hAnsi="Times New Roman" w:eastAsia="仿宋_GB2312" w:cs="仿宋_GB2312"/>
          <w:color w:val="auto"/>
          <w:kern w:val="0"/>
          <w:sz w:val="30"/>
          <w:szCs w:val="30"/>
        </w:rPr>
        <w:t>加。</w:t>
      </w:r>
    </w:p>
    <w:p>
      <w:pPr>
        <w:autoSpaceDE w:val="0"/>
        <w:autoSpaceDN w:val="0"/>
        <w:adjustRightInd w:val="0"/>
        <w:spacing w:line="580" w:lineRule="exact"/>
        <w:ind w:firstLine="600"/>
        <w:jc w:val="left"/>
        <w:rPr>
          <w:rFonts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其中：</w:t>
      </w:r>
      <w:r>
        <w:rPr>
          <w:rFonts w:ascii="Times New Roman" w:hAnsi="Times New Roman" w:eastAsia="仿宋_GB2312" w:cs="仿宋_GB2312"/>
          <w:color w:val="auto"/>
          <w:sz w:val="30"/>
          <w:szCs w:val="30"/>
        </w:rPr>
        <w:t>基本支出</w:t>
      </w:r>
      <w:r>
        <w:rPr>
          <w:rFonts w:hint="eastAsia" w:ascii="Times New Roman" w:hAnsi="Times New Roman" w:eastAsia="仿宋_GB2312" w:cs="仿宋_GB2312"/>
          <w:color w:val="auto"/>
          <w:sz w:val="30"/>
          <w:szCs w:val="30"/>
        </w:rPr>
        <w:t>870,590.67元</w:t>
      </w:r>
      <w:r>
        <w:rPr>
          <w:rFonts w:ascii="Times New Roman" w:hAnsi="Times New Roman" w:eastAsia="仿宋_GB2312" w:cs="仿宋_GB2312"/>
          <w:color w:val="auto"/>
          <w:sz w:val="30"/>
          <w:szCs w:val="30"/>
        </w:rPr>
        <w:t>，</w:t>
      </w:r>
      <w:r>
        <w:rPr>
          <w:rFonts w:hint="eastAsia" w:ascii="Times New Roman" w:hAnsi="Times New Roman" w:eastAsia="仿宋_GB2312" w:cs="仿宋_GB2312"/>
          <w:color w:val="auto"/>
          <w:sz w:val="30"/>
          <w:szCs w:val="30"/>
        </w:rPr>
        <w:t>占100.0%；</w:t>
      </w:r>
    </w:p>
    <w:p>
      <w:pPr>
        <w:autoSpaceDE w:val="0"/>
        <w:autoSpaceDN w:val="0"/>
        <w:adjustRightInd w:val="0"/>
        <w:spacing w:line="580" w:lineRule="exact"/>
        <w:ind w:firstLine="600"/>
        <w:jc w:val="left"/>
        <w:rPr>
          <w:rFonts w:ascii="Times New Roman" w:hAnsi="Times New Roman" w:eastAsia="仿宋_GB2312" w:cs="仿宋_GB2312"/>
          <w:color w:val="auto"/>
          <w:sz w:val="30"/>
          <w:szCs w:val="30"/>
        </w:rPr>
      </w:pPr>
      <w:r>
        <w:rPr>
          <w:rFonts w:ascii="Times New Roman" w:hAnsi="Times New Roman" w:eastAsia="仿宋_GB2312" w:cs="仿宋_GB2312"/>
          <w:color w:val="auto"/>
          <w:sz w:val="30"/>
          <w:szCs w:val="30"/>
        </w:rPr>
        <w:t>项目支出</w:t>
      </w:r>
      <w:r>
        <w:rPr>
          <w:rFonts w:hint="eastAsia" w:ascii="Times New Roman" w:hAnsi="Times New Roman" w:eastAsia="仿宋_GB2312" w:cs="仿宋_GB2312"/>
          <w:color w:val="auto"/>
          <w:sz w:val="30"/>
          <w:szCs w:val="30"/>
        </w:rPr>
        <w:t>0.00元</w:t>
      </w:r>
      <w:r>
        <w:rPr>
          <w:rFonts w:ascii="Times New Roman" w:hAnsi="Times New Roman" w:eastAsia="仿宋_GB2312" w:cs="仿宋_GB2312"/>
          <w:color w:val="auto"/>
          <w:sz w:val="30"/>
          <w:szCs w:val="30"/>
        </w:rPr>
        <w:t>，</w:t>
      </w:r>
      <w:r>
        <w:rPr>
          <w:rFonts w:hint="eastAsia" w:ascii="Times New Roman" w:hAnsi="Times New Roman" w:eastAsia="仿宋_GB2312" w:cs="仿宋_GB2312"/>
          <w:color w:val="auto"/>
          <w:sz w:val="30"/>
          <w:szCs w:val="30"/>
        </w:rPr>
        <w:t>占0.0%；</w:t>
      </w:r>
    </w:p>
    <w:p>
      <w:pPr>
        <w:autoSpaceDE w:val="0"/>
        <w:autoSpaceDN w:val="0"/>
        <w:adjustRightInd w:val="0"/>
        <w:spacing w:line="580" w:lineRule="exact"/>
        <w:ind w:firstLine="600"/>
        <w:jc w:val="left"/>
        <w:rPr>
          <w:rFonts w:ascii="Times New Roman" w:hAnsi="Times New Roman" w:eastAsia="仿宋_GB2312" w:cs="仿宋_GB2312"/>
          <w:color w:val="auto"/>
          <w:sz w:val="30"/>
          <w:szCs w:val="30"/>
        </w:rPr>
      </w:pPr>
      <w:r>
        <w:rPr>
          <w:rFonts w:ascii="Times New Roman" w:hAnsi="Times New Roman" w:eastAsia="仿宋_GB2312" w:cs="仿宋_GB2312"/>
          <w:color w:val="auto"/>
          <w:sz w:val="30"/>
          <w:szCs w:val="30"/>
        </w:rPr>
        <w:t>上缴上级支出</w:t>
      </w:r>
      <w:r>
        <w:rPr>
          <w:rFonts w:hint="eastAsia" w:ascii="Times New Roman" w:hAnsi="Times New Roman" w:eastAsia="仿宋_GB2312" w:cs="仿宋_GB2312"/>
          <w:color w:val="auto"/>
          <w:sz w:val="30"/>
          <w:szCs w:val="30"/>
        </w:rPr>
        <w:t>0.00元</w:t>
      </w:r>
      <w:r>
        <w:rPr>
          <w:rFonts w:ascii="Times New Roman" w:hAnsi="Times New Roman" w:eastAsia="仿宋_GB2312" w:cs="仿宋_GB2312"/>
          <w:color w:val="auto"/>
          <w:sz w:val="30"/>
          <w:szCs w:val="30"/>
        </w:rPr>
        <w:t>，</w:t>
      </w:r>
      <w:r>
        <w:rPr>
          <w:rFonts w:hint="eastAsia" w:ascii="Times New Roman" w:hAnsi="Times New Roman" w:eastAsia="仿宋_GB2312" w:cs="仿宋_GB2312"/>
          <w:color w:val="auto"/>
          <w:sz w:val="30"/>
          <w:szCs w:val="30"/>
        </w:rPr>
        <w:t>占0.0%；</w:t>
      </w:r>
    </w:p>
    <w:p>
      <w:pPr>
        <w:autoSpaceDE w:val="0"/>
        <w:autoSpaceDN w:val="0"/>
        <w:adjustRightInd w:val="0"/>
        <w:spacing w:line="580" w:lineRule="exact"/>
        <w:ind w:firstLine="600"/>
        <w:jc w:val="left"/>
        <w:rPr>
          <w:rFonts w:ascii="Times New Roman" w:hAnsi="Times New Roman" w:eastAsia="仿宋_GB2312" w:cs="仿宋_GB2312"/>
          <w:color w:val="auto"/>
          <w:sz w:val="30"/>
          <w:szCs w:val="30"/>
        </w:rPr>
      </w:pPr>
      <w:r>
        <w:rPr>
          <w:rFonts w:ascii="Times New Roman" w:hAnsi="Times New Roman" w:eastAsia="仿宋_GB2312" w:cs="仿宋_GB2312"/>
          <w:color w:val="auto"/>
          <w:sz w:val="30"/>
          <w:szCs w:val="30"/>
        </w:rPr>
        <w:t>经营支出</w:t>
      </w:r>
      <w:r>
        <w:rPr>
          <w:rFonts w:hint="eastAsia" w:ascii="Times New Roman" w:hAnsi="Times New Roman" w:eastAsia="仿宋_GB2312" w:cs="仿宋_GB2312"/>
          <w:color w:val="auto"/>
          <w:sz w:val="30"/>
          <w:szCs w:val="30"/>
        </w:rPr>
        <w:t>0.00元</w:t>
      </w:r>
      <w:r>
        <w:rPr>
          <w:rFonts w:ascii="Times New Roman" w:hAnsi="Times New Roman" w:eastAsia="仿宋_GB2312" w:cs="仿宋_GB2312"/>
          <w:color w:val="auto"/>
          <w:sz w:val="30"/>
          <w:szCs w:val="30"/>
        </w:rPr>
        <w:t>，</w:t>
      </w:r>
      <w:r>
        <w:rPr>
          <w:rFonts w:hint="eastAsia" w:ascii="Times New Roman" w:hAnsi="Times New Roman" w:eastAsia="仿宋_GB2312" w:cs="仿宋_GB2312"/>
          <w:color w:val="auto"/>
          <w:sz w:val="30"/>
          <w:szCs w:val="30"/>
        </w:rPr>
        <w:t>占0.0%；</w:t>
      </w:r>
    </w:p>
    <w:p>
      <w:pPr>
        <w:autoSpaceDE w:val="0"/>
        <w:autoSpaceDN w:val="0"/>
        <w:adjustRightInd w:val="0"/>
        <w:spacing w:line="580" w:lineRule="exact"/>
        <w:ind w:firstLine="600"/>
        <w:jc w:val="left"/>
        <w:rPr>
          <w:rFonts w:ascii="Times New Roman" w:hAnsi="Times New Roman" w:eastAsia="黑体" w:cs="黑体"/>
          <w:color w:val="auto"/>
          <w:sz w:val="30"/>
          <w:szCs w:val="30"/>
          <w:lang w:val="zh-CN"/>
        </w:rPr>
      </w:pPr>
      <w:r>
        <w:rPr>
          <w:rFonts w:ascii="Times New Roman" w:hAnsi="Times New Roman" w:eastAsia="仿宋_GB2312" w:cs="仿宋_GB2312"/>
          <w:color w:val="auto"/>
          <w:sz w:val="30"/>
          <w:szCs w:val="30"/>
        </w:rPr>
        <w:t>对附属单位补助支出</w:t>
      </w:r>
      <w:r>
        <w:rPr>
          <w:rFonts w:hint="eastAsia" w:ascii="Times New Roman" w:hAnsi="Times New Roman" w:eastAsia="仿宋_GB2312" w:cs="仿宋_GB2312"/>
          <w:color w:val="auto"/>
          <w:sz w:val="30"/>
          <w:szCs w:val="30"/>
        </w:rPr>
        <w:t>0.00元</w:t>
      </w:r>
      <w:r>
        <w:rPr>
          <w:rFonts w:ascii="Times New Roman" w:hAnsi="Times New Roman" w:eastAsia="仿宋_GB2312" w:cs="仿宋_GB2312"/>
          <w:color w:val="auto"/>
          <w:sz w:val="30"/>
          <w:szCs w:val="30"/>
        </w:rPr>
        <w:t>，</w:t>
      </w:r>
      <w:r>
        <w:rPr>
          <w:rFonts w:hint="eastAsia" w:ascii="Times New Roman" w:hAnsi="Times New Roman" w:eastAsia="仿宋_GB2312" w:cs="仿宋_GB2312"/>
          <w:color w:val="auto"/>
          <w:sz w:val="30"/>
          <w:szCs w:val="30"/>
        </w:rPr>
        <w:t>占0.0%。</w:t>
      </w: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lang w:val="zh-CN"/>
        </w:rPr>
      </w:pPr>
      <w:r>
        <w:rPr>
          <w:rFonts w:hint="eastAsia" w:ascii="Times New Roman" w:hAnsi="Times New Roman" w:eastAsia="黑体" w:cs="黑体"/>
          <w:b/>
          <w:bCs/>
          <w:color w:val="auto"/>
          <w:kern w:val="0"/>
          <w:sz w:val="30"/>
          <w:szCs w:val="30"/>
          <w:lang w:val="zh-CN"/>
        </w:rPr>
        <w:t>四、财政拨款收支决算总体情况说明</w:t>
      </w:r>
    </w:p>
    <w:p>
      <w:pPr>
        <w:autoSpaceDE w:val="0"/>
        <w:autoSpaceDN w:val="0"/>
        <w:adjustRightInd w:val="0"/>
        <w:spacing w:line="580" w:lineRule="exact"/>
        <w:ind w:firstLine="600"/>
        <w:jc w:val="left"/>
        <w:rPr>
          <w:rFonts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天津市南开区纪委监委综合服务中心</w:t>
      </w:r>
      <w:r>
        <w:rPr>
          <w:rFonts w:hint="eastAsia" w:ascii="Times New Roman" w:hAnsi="Times New Roman" w:eastAsia="宋体" w:cs="宋体"/>
          <w:color w:val="auto"/>
          <w:sz w:val="30"/>
          <w:szCs w:val="30"/>
        </w:rPr>
        <w:t>2023</w:t>
      </w:r>
      <w:r>
        <w:rPr>
          <w:rFonts w:hint="eastAsia" w:ascii="Times New Roman" w:hAnsi="Times New Roman" w:eastAsia="仿宋_GB2312" w:cs="仿宋_GB2312"/>
          <w:color w:val="auto"/>
          <w:sz w:val="30"/>
          <w:szCs w:val="30"/>
        </w:rPr>
        <w:t>年度财政拨款收入、支出决算总计</w:t>
      </w:r>
      <w:r>
        <w:rPr>
          <w:rFonts w:hint="eastAsia" w:ascii="Times New Roman" w:hAnsi="Times New Roman" w:eastAsia="仿宋_GB2312" w:cs="Times New Roman"/>
          <w:color w:val="auto"/>
          <w:sz w:val="30"/>
          <w:szCs w:val="30"/>
          <w:lang w:val="zh-CN"/>
        </w:rPr>
        <w:t>870,590.67</w:t>
      </w:r>
      <w:r>
        <w:rPr>
          <w:rFonts w:hint="eastAsia" w:ascii="Times New Roman" w:hAnsi="Times New Roman" w:eastAsia="仿宋_GB2312" w:cs="仿宋_GB2312"/>
          <w:color w:val="auto"/>
          <w:sz w:val="30"/>
          <w:szCs w:val="30"/>
        </w:rPr>
        <w:t>元，与</w:t>
      </w:r>
      <w:r>
        <w:rPr>
          <w:rFonts w:hint="eastAsia" w:ascii="Times New Roman" w:hAnsi="Times New Roman" w:eastAsia="仿宋_GB2312" w:cs="Times New Roman"/>
          <w:color w:val="auto"/>
          <w:sz w:val="30"/>
          <w:szCs w:val="30"/>
        </w:rPr>
        <w:t>2022</w:t>
      </w:r>
      <w:r>
        <w:rPr>
          <w:rFonts w:hint="eastAsia" w:ascii="Times New Roman" w:hAnsi="Times New Roman" w:eastAsia="仿宋_GB2312" w:cs="仿宋_GB2312"/>
          <w:color w:val="auto"/>
          <w:sz w:val="30"/>
          <w:szCs w:val="30"/>
        </w:rPr>
        <w:t>年度相比，财政拨款收、支总计各增加169,727.41元，增长24.22</w:t>
      </w:r>
      <w:r>
        <w:rPr>
          <w:rFonts w:hint="eastAsia" w:ascii="Times New Roman" w:hAnsi="Times New Roman" w:eastAsia="仿宋_GB2312" w:cs="Times New Roman"/>
          <w:color w:val="auto"/>
          <w:sz w:val="30"/>
          <w:szCs w:val="30"/>
        </w:rPr>
        <w:t>%</w:t>
      </w:r>
      <w:r>
        <w:rPr>
          <w:rFonts w:hint="eastAsia" w:ascii="Times New Roman" w:hAnsi="Times New Roman" w:eastAsia="仿宋_GB2312" w:cs="仿宋_GB2312"/>
          <w:color w:val="auto"/>
          <w:sz w:val="30"/>
          <w:szCs w:val="30"/>
        </w:rPr>
        <w:t>，</w:t>
      </w:r>
      <w:r>
        <w:rPr>
          <w:rFonts w:hint="eastAsia" w:ascii="Times New Roman" w:hAnsi="Times New Roman" w:eastAsia="仿宋_GB2312" w:cs="仿宋_GB2312"/>
          <w:color w:val="auto"/>
          <w:sz w:val="30"/>
          <w:szCs w:val="30"/>
          <w:lang w:val="zh-CN"/>
        </w:rPr>
        <w:t>主要原因是：</w:t>
      </w:r>
      <w:r>
        <w:rPr>
          <w:rFonts w:hint="eastAsia" w:ascii="Times New Roman" w:hAnsi="Times New Roman" w:eastAsia="仿宋_GB2312" w:cs="仿宋_GB2312"/>
          <w:color w:val="auto"/>
          <w:sz w:val="30"/>
          <w:szCs w:val="30"/>
        </w:rPr>
        <w:t>本年度增加在职人员。</w:t>
      </w: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lang w:val="zh-CN"/>
        </w:rPr>
      </w:pPr>
      <w:r>
        <w:rPr>
          <w:rFonts w:hint="eastAsia" w:ascii="Times New Roman" w:hAnsi="Times New Roman" w:eastAsia="黑体" w:cs="黑体"/>
          <w:b/>
          <w:bCs/>
          <w:color w:val="auto"/>
          <w:kern w:val="0"/>
          <w:sz w:val="30"/>
          <w:szCs w:val="30"/>
          <w:lang w:val="zh-CN"/>
        </w:rPr>
        <w:t>五、一般公共预算财政拨款支出决算情况说明</w:t>
      </w:r>
    </w:p>
    <w:p>
      <w:pPr>
        <w:autoSpaceDE w:val="0"/>
        <w:autoSpaceDN w:val="0"/>
        <w:adjustRightInd w:val="0"/>
        <w:spacing w:line="600" w:lineRule="exact"/>
        <w:ind w:left="480"/>
        <w:jc w:val="left"/>
        <w:rPr>
          <w:rFonts w:ascii="Times New Roman" w:hAnsi="Times New Roman" w:eastAsia="楷体" w:cs="楷体"/>
          <w:b/>
          <w:bCs/>
          <w:color w:val="auto"/>
          <w:kern w:val="0"/>
          <w:sz w:val="30"/>
          <w:szCs w:val="30"/>
        </w:rPr>
      </w:pPr>
      <w:r>
        <w:rPr>
          <w:rFonts w:hint="eastAsia" w:ascii="Times New Roman" w:hAnsi="Times New Roman" w:eastAsia="楷体" w:cs="楷体"/>
          <w:b/>
          <w:bCs/>
          <w:color w:val="auto"/>
          <w:kern w:val="0"/>
          <w:sz w:val="30"/>
          <w:szCs w:val="30"/>
        </w:rPr>
        <w:t>（一）总体情况</w:t>
      </w:r>
    </w:p>
    <w:p>
      <w:pPr>
        <w:autoSpaceDE w:val="0"/>
        <w:autoSpaceDN w:val="0"/>
        <w:adjustRightInd w:val="0"/>
        <w:spacing w:line="600" w:lineRule="exact"/>
        <w:ind w:firstLine="720"/>
        <w:jc w:val="left"/>
        <w:rPr>
          <w:rFonts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天津市南开区纪委监委综合服务中心2023年度部门决算一般公共预算财政拨款支出</w:t>
      </w:r>
      <w:r>
        <w:rPr>
          <w:rFonts w:hint="eastAsia" w:ascii="Times New Roman" w:hAnsi="Times New Roman" w:eastAsia="仿宋_GB2312" w:cs="仿宋_GB2312"/>
          <w:color w:val="auto"/>
          <w:sz w:val="30"/>
          <w:szCs w:val="30"/>
          <w:lang w:val="zh-CN"/>
        </w:rPr>
        <w:t>合</w:t>
      </w:r>
      <w:r>
        <w:rPr>
          <w:rFonts w:hint="eastAsia" w:ascii="Times New Roman" w:hAnsi="Times New Roman" w:eastAsia="仿宋_GB2312" w:cs="仿宋_GB2312"/>
          <w:color w:val="auto"/>
          <w:sz w:val="30"/>
          <w:szCs w:val="30"/>
        </w:rPr>
        <w:t>计870,590.67元，占本年支出合计的100.0%，与2022年度相比，一般公共预算财政拨款支出增加170,272.93元，增长24.31%，</w:t>
      </w:r>
      <w:r>
        <w:rPr>
          <w:rFonts w:hint="eastAsia" w:ascii="Times New Roman" w:hAnsi="Times New Roman" w:eastAsia="仿宋_GB2312" w:cs="仿宋_GB2312"/>
          <w:color w:val="auto"/>
          <w:sz w:val="30"/>
          <w:szCs w:val="30"/>
          <w:lang w:val="zh-CN"/>
        </w:rPr>
        <w:t>主要原因是</w:t>
      </w:r>
      <w:r>
        <w:rPr>
          <w:rFonts w:hint="eastAsia" w:ascii="Times New Roman" w:hAnsi="Times New Roman" w:eastAsia="仿宋_GB2312" w:cs="仿宋_GB2312"/>
          <w:color w:val="auto"/>
          <w:sz w:val="30"/>
          <w:szCs w:val="30"/>
        </w:rPr>
        <w:t>：本年度增加在职人员，</w:t>
      </w:r>
      <w:r>
        <w:rPr>
          <w:rFonts w:hint="eastAsia" w:ascii="Times New Roman" w:hAnsi="Times New Roman" w:eastAsia="仿宋_GB2312" w:cs="仿宋_GB2312"/>
          <w:color w:val="auto"/>
          <w:sz w:val="30"/>
          <w:szCs w:val="30"/>
        </w:rPr>
        <w:t>支出增</w:t>
      </w:r>
      <w:r>
        <w:rPr>
          <w:rFonts w:hint="eastAsia" w:ascii="Times New Roman" w:hAnsi="Times New Roman" w:eastAsia="仿宋_GB2312" w:cs="仿宋_GB2312"/>
          <w:color w:val="auto"/>
          <w:sz w:val="30"/>
          <w:szCs w:val="30"/>
        </w:rPr>
        <w:t>加。</w:t>
      </w:r>
    </w:p>
    <w:p>
      <w:pPr>
        <w:autoSpaceDE w:val="0"/>
        <w:autoSpaceDN w:val="0"/>
        <w:adjustRightInd w:val="0"/>
        <w:spacing w:line="600" w:lineRule="exact"/>
        <w:ind w:left="480"/>
        <w:jc w:val="left"/>
        <w:rPr>
          <w:rFonts w:ascii="Times New Roman" w:hAnsi="Times New Roman" w:eastAsia="楷体" w:cs="楷体"/>
          <w:b/>
          <w:bCs/>
          <w:color w:val="auto"/>
          <w:kern w:val="0"/>
          <w:sz w:val="30"/>
          <w:szCs w:val="30"/>
        </w:rPr>
      </w:pPr>
      <w:r>
        <w:rPr>
          <w:rFonts w:hint="eastAsia" w:ascii="Times New Roman" w:hAnsi="Times New Roman" w:eastAsia="楷体" w:cs="楷体"/>
          <w:b/>
          <w:bCs/>
          <w:color w:val="auto"/>
          <w:kern w:val="0"/>
          <w:sz w:val="30"/>
          <w:szCs w:val="30"/>
        </w:rPr>
        <w:t>（二）</w:t>
      </w:r>
      <w:r>
        <w:rPr>
          <w:rFonts w:hint="eastAsia" w:ascii="Times New Roman" w:hAnsi="Times New Roman" w:eastAsia="楷体" w:cs="楷体"/>
          <w:b/>
          <w:bCs/>
          <w:color w:val="auto"/>
          <w:kern w:val="0"/>
          <w:sz w:val="30"/>
          <w:szCs w:val="30"/>
          <w:lang w:val="zh-CN"/>
        </w:rPr>
        <w:t>支出结构</w:t>
      </w:r>
      <w:r>
        <w:rPr>
          <w:rFonts w:hint="eastAsia" w:ascii="Times New Roman" w:hAnsi="Times New Roman" w:eastAsia="楷体" w:cs="楷体"/>
          <w:b/>
          <w:bCs/>
          <w:color w:val="auto"/>
          <w:kern w:val="0"/>
          <w:sz w:val="30"/>
          <w:szCs w:val="30"/>
        </w:rPr>
        <w:t>情况</w:t>
      </w:r>
    </w:p>
    <w:p>
      <w:pPr>
        <w:autoSpaceDE w:val="0"/>
        <w:autoSpaceDN w:val="0"/>
        <w:adjustRightInd w:val="0"/>
        <w:spacing w:line="600" w:lineRule="exact"/>
        <w:ind w:firstLine="720"/>
        <w:jc w:val="left"/>
        <w:rPr>
          <w:rFonts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2023年度一般公共预算财政拨款支出</w:t>
      </w:r>
      <w:r>
        <w:rPr>
          <w:rFonts w:hint="eastAsia" w:ascii="Times New Roman" w:hAnsi="Times New Roman" w:eastAsia="仿宋_GB2312" w:cs="Times New Roman"/>
          <w:color w:val="auto"/>
          <w:sz w:val="30"/>
          <w:szCs w:val="30"/>
        </w:rPr>
        <w:t>870,590.67</w:t>
      </w:r>
      <w:r>
        <w:rPr>
          <w:rFonts w:hint="eastAsia" w:ascii="Times New Roman" w:hAnsi="Times New Roman" w:eastAsia="仿宋_GB2312" w:cs="仿宋_GB2312"/>
          <w:color w:val="auto"/>
          <w:sz w:val="30"/>
          <w:szCs w:val="30"/>
        </w:rPr>
        <w:t>元，</w:t>
      </w:r>
      <w:r>
        <w:rPr>
          <w:rFonts w:hint="eastAsia" w:ascii="Times New Roman" w:hAnsi="Times New Roman" w:eastAsia="仿宋_GB2312" w:cs="仿宋_GB2312"/>
          <w:color w:val="auto"/>
          <w:kern w:val="0"/>
          <w:sz w:val="30"/>
          <w:szCs w:val="30"/>
        </w:rPr>
        <w:t>主要用于以下方面：</w:t>
      </w:r>
      <w:r>
        <w:rPr>
          <w:rFonts w:hint="eastAsia" w:ascii="Times New Roman" w:hAnsi="Times New Roman" w:eastAsia="仿宋_GB2312" w:cs="仿宋_GB2312"/>
          <w:color w:val="auto"/>
          <w:sz w:val="30"/>
          <w:szCs w:val="30"/>
        </w:rPr>
        <w:t>一般公共服务支出741439.41元，占85.17%，社会保障和职业支出90072元，占10.35%，卫生健康支出39079.26元，占4.48%</w:t>
      </w:r>
    </w:p>
    <w:p>
      <w:pPr>
        <w:autoSpaceDE w:val="0"/>
        <w:autoSpaceDN w:val="0"/>
        <w:adjustRightInd w:val="0"/>
        <w:spacing w:line="600" w:lineRule="exact"/>
        <w:ind w:left="480"/>
        <w:jc w:val="left"/>
        <w:rPr>
          <w:rFonts w:ascii="Times New Roman" w:hAnsi="Times New Roman" w:eastAsia="楷体" w:cs="楷体"/>
          <w:b/>
          <w:bCs/>
          <w:color w:val="auto"/>
          <w:kern w:val="0"/>
          <w:sz w:val="30"/>
          <w:szCs w:val="30"/>
        </w:rPr>
      </w:pPr>
      <w:r>
        <w:rPr>
          <w:rFonts w:hint="eastAsia" w:ascii="Times New Roman" w:hAnsi="Times New Roman" w:eastAsia="楷体" w:cs="楷体"/>
          <w:b/>
          <w:bCs/>
          <w:color w:val="auto"/>
          <w:kern w:val="0"/>
          <w:sz w:val="30"/>
          <w:szCs w:val="30"/>
        </w:rPr>
        <w:t>（三）具体情况</w:t>
      </w:r>
    </w:p>
    <w:p>
      <w:pPr>
        <w:autoSpaceDE w:val="0"/>
        <w:autoSpaceDN w:val="0"/>
        <w:adjustRightInd w:val="0"/>
        <w:spacing w:line="600" w:lineRule="exact"/>
        <w:ind w:firstLine="600"/>
        <w:jc w:val="left"/>
        <w:rPr>
          <w:rFonts w:ascii="Times New Roman" w:hAnsi="Times New Roman" w:eastAsia="仿宋_GB2312" w:cs="仿宋_GB2312"/>
          <w:color w:val="auto"/>
          <w:kern w:val="0"/>
          <w:sz w:val="30"/>
          <w:szCs w:val="30"/>
        </w:rPr>
      </w:pPr>
      <w:r>
        <w:rPr>
          <w:rFonts w:hint="eastAsia" w:ascii="Times New Roman" w:hAnsi="Times New Roman" w:eastAsia="仿宋_GB2312" w:cs="仿宋_GB2312"/>
          <w:color w:val="auto"/>
          <w:kern w:val="0"/>
          <w:sz w:val="30"/>
          <w:szCs w:val="30"/>
        </w:rPr>
        <w:t>2023年度一般公共预算财政拨款支出年初预算为</w:t>
      </w:r>
      <w:r>
        <w:rPr>
          <w:rFonts w:hint="eastAsia" w:ascii="Times New Roman" w:hAnsi="Times New Roman" w:eastAsia="仿宋_GB2312" w:cs="Times New Roman"/>
          <w:color w:val="auto"/>
          <w:sz w:val="30"/>
          <w:szCs w:val="30"/>
        </w:rPr>
        <w:t>747,695.65</w:t>
      </w:r>
      <w:r>
        <w:rPr>
          <w:rFonts w:hint="eastAsia" w:ascii="Times New Roman" w:hAnsi="Times New Roman" w:eastAsia="仿宋_GB2312" w:cs="仿宋_GB2312"/>
          <w:color w:val="auto"/>
          <w:kern w:val="0"/>
          <w:sz w:val="30"/>
          <w:szCs w:val="30"/>
        </w:rPr>
        <w:t>元，支出决算为</w:t>
      </w:r>
      <w:r>
        <w:rPr>
          <w:rFonts w:hint="eastAsia" w:ascii="Times New Roman" w:hAnsi="Times New Roman" w:eastAsia="仿宋_GB2312" w:cs="Times New Roman"/>
          <w:color w:val="auto"/>
          <w:sz w:val="30"/>
          <w:szCs w:val="30"/>
        </w:rPr>
        <w:t>870,590.67</w:t>
      </w:r>
      <w:r>
        <w:rPr>
          <w:rFonts w:hint="eastAsia" w:ascii="Times New Roman" w:hAnsi="Times New Roman" w:eastAsia="仿宋_GB2312" w:cs="仿宋_GB2312"/>
          <w:color w:val="auto"/>
          <w:kern w:val="0"/>
          <w:sz w:val="30"/>
          <w:szCs w:val="30"/>
        </w:rPr>
        <w:t>元，完成年初预算的</w:t>
      </w:r>
      <w:r>
        <w:rPr>
          <w:rFonts w:hint="eastAsia" w:ascii="Times New Roman" w:hAnsi="Times New Roman" w:eastAsia="仿宋_GB2312" w:cs="Times New Roman"/>
          <w:color w:val="auto"/>
          <w:sz w:val="30"/>
          <w:szCs w:val="30"/>
        </w:rPr>
        <w:t>116.44%</w:t>
      </w:r>
      <w:r>
        <w:rPr>
          <w:rFonts w:hint="eastAsia" w:ascii="Times New Roman" w:hAnsi="Times New Roman" w:eastAsia="仿宋_GB2312" w:cs="仿宋_GB2312"/>
          <w:color w:val="auto"/>
          <w:kern w:val="0"/>
          <w:sz w:val="30"/>
          <w:szCs w:val="30"/>
        </w:rPr>
        <w:t>。其中：</w:t>
      </w:r>
    </w:p>
    <w:p>
      <w:pPr>
        <w:autoSpaceDE w:val="0"/>
        <w:autoSpaceDN w:val="0"/>
        <w:adjustRightInd w:val="0"/>
        <w:spacing w:line="600" w:lineRule="exact"/>
        <w:ind w:firstLine="720"/>
        <w:jc w:val="left"/>
        <w:rPr>
          <w:rFonts w:ascii="Times New Roman" w:hAnsi="Times New Roman" w:eastAsia="黑体" w:cs="黑体"/>
          <w:b/>
          <w:bCs/>
          <w:color w:val="auto"/>
          <w:kern w:val="0"/>
          <w:sz w:val="30"/>
          <w:szCs w:val="30"/>
        </w:rPr>
      </w:pPr>
      <w:r>
        <w:rPr>
          <w:rFonts w:hint="eastAsia" w:ascii="Times New Roman" w:hAnsi="Times New Roman" w:eastAsia="仿宋_GB2312" w:cs="仿宋_GB2312"/>
          <w:color w:val="auto"/>
          <w:sz w:val="30"/>
          <w:szCs w:val="30"/>
        </w:rPr>
        <w:t>1.一般公共服务支出（类）纪检监察事务（款）事业运行（项）的年初预算数为637,050.01元。支出决算为741,439.41元，完成年初预算的116.39%，决算数大于年初预算数的主要原因是本年度增加了在职人员，</w:t>
      </w:r>
      <w:r>
        <w:rPr>
          <w:rFonts w:hint="eastAsia" w:ascii="Times New Roman" w:hAnsi="Times New Roman" w:eastAsia="仿宋_GB2312" w:cs="仿宋_GB2312"/>
          <w:color w:val="auto"/>
          <w:sz w:val="30"/>
          <w:szCs w:val="30"/>
        </w:rPr>
        <w:t>支出</w:t>
      </w:r>
      <w:r>
        <w:rPr>
          <w:rFonts w:hint="eastAsia" w:ascii="Times New Roman" w:hAnsi="Times New Roman" w:eastAsia="仿宋_GB2312" w:cs="仿宋_GB2312"/>
          <w:color w:val="auto"/>
          <w:sz w:val="30"/>
          <w:szCs w:val="30"/>
        </w:rPr>
        <w:t>增加。</w:t>
      </w:r>
      <w:r>
        <w:rPr>
          <w:rFonts w:hint="eastAsia" w:ascii="Times New Roman" w:hAnsi="Times New Roman" w:eastAsia="仿宋_GB2312" w:cs="仿宋_GB2312"/>
          <w:color w:val="auto"/>
          <w:sz w:val="30"/>
          <w:szCs w:val="30"/>
        </w:rPr>
        <w:br w:type="textWrapping"/>
      </w:r>
      <w:r>
        <w:rPr>
          <w:rFonts w:hint="eastAsia" w:ascii="Times New Roman" w:hAnsi="Times New Roman" w:eastAsia="仿宋_GB2312" w:cs="仿宋_GB2312"/>
          <w:color w:val="auto"/>
          <w:sz w:val="30"/>
          <w:szCs w:val="30"/>
          <w:lang w:val="en-US" w:eastAsia="zh-CN"/>
        </w:rPr>
        <w:t xml:space="preserve">    </w:t>
      </w:r>
      <w:r>
        <w:rPr>
          <w:rFonts w:hint="eastAsia" w:ascii="Times New Roman" w:hAnsi="Times New Roman" w:eastAsia="仿宋_GB2312" w:cs="仿宋_GB2312"/>
          <w:color w:val="auto"/>
          <w:sz w:val="30"/>
          <w:szCs w:val="30"/>
        </w:rPr>
        <w:t>2.社会保障和就业支出（类）行政事业单位养老支出（款）机关事业单位职业年金缴费支出（项）的年初预算数为25,656.96元。支出决算为30,024.00元，完成年初预算的117.02%，决算数大于年初预算数的主要原因是本年度增加了在职人员，</w:t>
      </w:r>
      <w:r>
        <w:rPr>
          <w:rFonts w:hint="eastAsia" w:ascii="Times New Roman" w:hAnsi="Times New Roman" w:eastAsia="仿宋_GB2312" w:cs="仿宋_GB2312"/>
          <w:color w:val="auto"/>
          <w:sz w:val="30"/>
          <w:szCs w:val="30"/>
        </w:rPr>
        <w:t>支出</w:t>
      </w:r>
      <w:r>
        <w:rPr>
          <w:rFonts w:hint="eastAsia" w:ascii="Times New Roman" w:hAnsi="Times New Roman" w:eastAsia="仿宋_GB2312" w:cs="仿宋_GB2312"/>
          <w:color w:val="auto"/>
          <w:sz w:val="30"/>
          <w:szCs w:val="30"/>
        </w:rPr>
        <w:t>增加。</w:t>
      </w:r>
      <w:r>
        <w:rPr>
          <w:rFonts w:hint="eastAsia" w:ascii="Times New Roman" w:hAnsi="Times New Roman" w:eastAsia="仿宋_GB2312" w:cs="仿宋_GB2312"/>
          <w:color w:val="auto"/>
          <w:sz w:val="30"/>
          <w:szCs w:val="30"/>
        </w:rPr>
        <w:br w:type="textWrapping"/>
      </w:r>
      <w:r>
        <w:rPr>
          <w:rFonts w:hint="eastAsia" w:ascii="Times New Roman" w:hAnsi="Times New Roman" w:eastAsia="仿宋_GB2312" w:cs="仿宋_GB2312"/>
          <w:color w:val="auto"/>
          <w:sz w:val="30"/>
          <w:szCs w:val="30"/>
          <w:lang w:val="en-US" w:eastAsia="zh-CN"/>
        </w:rPr>
        <w:t xml:space="preserve">    </w:t>
      </w:r>
      <w:r>
        <w:rPr>
          <w:rFonts w:hint="eastAsia" w:ascii="Times New Roman" w:hAnsi="Times New Roman" w:eastAsia="仿宋_GB2312" w:cs="仿宋_GB2312"/>
          <w:color w:val="auto"/>
          <w:sz w:val="30"/>
          <w:szCs w:val="30"/>
        </w:rPr>
        <w:t>3.卫生健康支出（类）行政事业单位医疗（款）事业单位医疗（项）的年初预算数为33,674.76元。支出决算为39,079.26元，完成年初预算的116.05%，决算数大于年初预算数的主要原因是本年度增加了在职人员，</w:t>
      </w:r>
      <w:r>
        <w:rPr>
          <w:rFonts w:hint="eastAsia" w:ascii="Times New Roman" w:hAnsi="Times New Roman" w:eastAsia="仿宋_GB2312" w:cs="仿宋_GB2312"/>
          <w:color w:val="auto"/>
          <w:sz w:val="30"/>
          <w:szCs w:val="30"/>
        </w:rPr>
        <w:t>支出</w:t>
      </w:r>
      <w:r>
        <w:rPr>
          <w:rFonts w:hint="eastAsia" w:ascii="Times New Roman" w:hAnsi="Times New Roman" w:eastAsia="仿宋_GB2312" w:cs="仿宋_GB2312"/>
          <w:color w:val="auto"/>
          <w:sz w:val="30"/>
          <w:szCs w:val="30"/>
        </w:rPr>
        <w:t>增加。</w:t>
      </w:r>
      <w:r>
        <w:rPr>
          <w:rFonts w:hint="eastAsia" w:ascii="Times New Roman" w:hAnsi="Times New Roman" w:eastAsia="仿宋_GB2312" w:cs="仿宋_GB2312"/>
          <w:color w:val="auto"/>
          <w:sz w:val="30"/>
          <w:szCs w:val="30"/>
        </w:rPr>
        <w:br w:type="textWrapping"/>
      </w:r>
      <w:r>
        <w:rPr>
          <w:rFonts w:hint="eastAsia" w:ascii="Times New Roman" w:hAnsi="Times New Roman" w:eastAsia="仿宋_GB2312" w:cs="仿宋_GB2312"/>
          <w:color w:val="auto"/>
          <w:sz w:val="30"/>
          <w:szCs w:val="30"/>
          <w:lang w:val="en-US" w:eastAsia="zh-CN"/>
        </w:rPr>
        <w:t xml:space="preserve">    </w:t>
      </w:r>
      <w:r>
        <w:rPr>
          <w:rFonts w:hint="eastAsia" w:ascii="Times New Roman" w:hAnsi="Times New Roman" w:eastAsia="仿宋_GB2312" w:cs="仿宋_GB2312"/>
          <w:color w:val="auto"/>
          <w:sz w:val="30"/>
          <w:szCs w:val="30"/>
        </w:rPr>
        <w:t>4.社会保障和就业支出（类）行政事业单位养老支出（款）机关事业单位基本养老保险缴费支出（项）的年初预算数为51,313.92元。支出决算为60,048.00元，完成年初预算的117.02%，决算数大于年初预算数的主要原因是本年度增加了在职人员，</w:t>
      </w:r>
      <w:r>
        <w:rPr>
          <w:rFonts w:hint="eastAsia" w:ascii="Times New Roman" w:hAnsi="Times New Roman" w:eastAsia="仿宋_GB2312" w:cs="仿宋_GB2312"/>
          <w:color w:val="auto"/>
          <w:sz w:val="30"/>
          <w:szCs w:val="30"/>
        </w:rPr>
        <w:t>支出</w:t>
      </w:r>
      <w:r>
        <w:rPr>
          <w:rFonts w:hint="eastAsia" w:ascii="Times New Roman" w:hAnsi="Times New Roman" w:eastAsia="仿宋_GB2312" w:cs="仿宋_GB2312"/>
          <w:color w:val="auto"/>
          <w:sz w:val="30"/>
          <w:szCs w:val="30"/>
        </w:rPr>
        <w:t>增加。</w:t>
      </w: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rPr>
      </w:pPr>
      <w:r>
        <w:rPr>
          <w:rFonts w:hint="eastAsia" w:ascii="Times New Roman" w:hAnsi="Times New Roman" w:eastAsia="黑体" w:cs="黑体"/>
          <w:b/>
          <w:bCs/>
          <w:color w:val="auto"/>
          <w:kern w:val="0"/>
          <w:sz w:val="30"/>
          <w:szCs w:val="30"/>
        </w:rPr>
        <w:t>六、一般公共预算财政拨款基本支出决算情况说明</w:t>
      </w:r>
    </w:p>
    <w:p>
      <w:pPr>
        <w:autoSpaceDE w:val="0"/>
        <w:autoSpaceDN w:val="0"/>
        <w:adjustRightInd w:val="0"/>
        <w:spacing w:line="600" w:lineRule="exact"/>
        <w:ind w:firstLine="720"/>
        <w:jc w:val="left"/>
        <w:rPr>
          <w:rFonts w:ascii="Times New Roman" w:hAnsi="Times New Roman" w:eastAsia="仿宋_GB2312" w:cs="仿宋_GB2312"/>
          <w:color w:val="auto"/>
          <w:kern w:val="0"/>
          <w:sz w:val="30"/>
          <w:szCs w:val="30"/>
        </w:rPr>
      </w:pPr>
      <w:r>
        <w:rPr>
          <w:rFonts w:hint="eastAsia" w:ascii="Times New Roman" w:hAnsi="Times New Roman" w:eastAsia="仿宋_GB2312" w:cs="仿宋_GB2312"/>
          <w:color w:val="auto"/>
          <w:sz w:val="30"/>
          <w:szCs w:val="30"/>
        </w:rPr>
        <w:t>天津市南开区纪委监委综合服务中心</w:t>
      </w:r>
      <w:r>
        <w:rPr>
          <w:rFonts w:hint="eastAsia" w:ascii="Times New Roman" w:hAnsi="Times New Roman" w:eastAsia="宋体" w:cs="宋体"/>
          <w:color w:val="auto"/>
          <w:sz w:val="30"/>
          <w:szCs w:val="30"/>
        </w:rPr>
        <w:t>2023</w:t>
      </w:r>
      <w:r>
        <w:rPr>
          <w:rFonts w:hint="eastAsia" w:ascii="Times New Roman" w:hAnsi="Times New Roman" w:eastAsia="仿宋_GB2312" w:cs="仿宋_GB2312"/>
          <w:color w:val="auto"/>
          <w:sz w:val="30"/>
          <w:szCs w:val="30"/>
        </w:rPr>
        <w:t>年度部门决算一般公共预算财政拨款基本支出合计</w:t>
      </w:r>
      <w:r>
        <w:rPr>
          <w:rFonts w:hint="eastAsia" w:ascii="Times New Roman" w:hAnsi="Times New Roman" w:eastAsia="仿宋_GB2312" w:cs="Times New Roman"/>
          <w:color w:val="auto"/>
          <w:sz w:val="30"/>
          <w:szCs w:val="30"/>
        </w:rPr>
        <w:t>870,590.67</w:t>
      </w:r>
      <w:r>
        <w:rPr>
          <w:rFonts w:hint="eastAsia" w:ascii="Times New Roman" w:hAnsi="Times New Roman" w:eastAsia="仿宋_GB2312" w:cs="仿宋_GB2312"/>
          <w:color w:val="auto"/>
          <w:sz w:val="30"/>
          <w:szCs w:val="30"/>
        </w:rPr>
        <w:t>元，与</w:t>
      </w:r>
      <w:r>
        <w:rPr>
          <w:rFonts w:hint="eastAsia" w:ascii="Times New Roman" w:hAnsi="Times New Roman" w:eastAsia="仿宋_GB2312" w:cs="Times New Roman"/>
          <w:color w:val="auto"/>
          <w:sz w:val="30"/>
          <w:szCs w:val="30"/>
        </w:rPr>
        <w:t>2022</w:t>
      </w:r>
      <w:r>
        <w:rPr>
          <w:rFonts w:hint="eastAsia" w:ascii="Times New Roman" w:hAnsi="Times New Roman" w:eastAsia="仿宋_GB2312" w:cs="仿宋_GB2312"/>
          <w:color w:val="auto"/>
          <w:sz w:val="30"/>
          <w:szCs w:val="30"/>
        </w:rPr>
        <w:t>年度相比增加170,272.93元，</w:t>
      </w:r>
      <w:r>
        <w:rPr>
          <w:rFonts w:hint="eastAsia" w:ascii="Times New Roman" w:hAnsi="Times New Roman" w:eastAsia="仿宋_GB2312" w:cs="仿宋_GB2312"/>
          <w:color w:val="auto"/>
          <w:kern w:val="0"/>
          <w:sz w:val="30"/>
          <w:szCs w:val="30"/>
        </w:rPr>
        <w:t>主要原因是</w:t>
      </w:r>
      <w:r>
        <w:rPr>
          <w:rFonts w:hint="eastAsia" w:ascii="Times New Roman" w:hAnsi="Times New Roman" w:eastAsia="楷体_GB2312" w:cs="楷体_GB2312"/>
          <w:color w:val="auto"/>
          <w:sz w:val="30"/>
          <w:szCs w:val="30"/>
        </w:rPr>
        <w:t>：</w:t>
      </w:r>
      <w:r>
        <w:rPr>
          <w:rFonts w:hint="eastAsia" w:ascii="Times New Roman" w:hAnsi="Times New Roman" w:eastAsia="仿宋_GB2312" w:cs="仿宋_GB2312"/>
          <w:color w:val="auto"/>
          <w:sz w:val="30"/>
          <w:szCs w:val="30"/>
        </w:rPr>
        <w:t>本年度增加在职人员，</w:t>
      </w:r>
      <w:r>
        <w:rPr>
          <w:rFonts w:hint="eastAsia" w:ascii="Times New Roman" w:hAnsi="Times New Roman" w:eastAsia="仿宋_GB2312" w:cs="仿宋_GB2312"/>
          <w:color w:val="auto"/>
          <w:sz w:val="30"/>
          <w:szCs w:val="30"/>
        </w:rPr>
        <w:t>支出</w:t>
      </w:r>
      <w:r>
        <w:rPr>
          <w:rFonts w:hint="eastAsia" w:ascii="Times New Roman" w:hAnsi="Times New Roman" w:eastAsia="仿宋_GB2312" w:cs="仿宋_GB2312"/>
          <w:color w:val="auto"/>
          <w:sz w:val="30"/>
          <w:szCs w:val="30"/>
        </w:rPr>
        <w:t>增加。</w:t>
      </w:r>
      <w:r>
        <w:rPr>
          <w:rFonts w:hint="eastAsia" w:ascii="Times New Roman" w:hAnsi="Times New Roman" w:eastAsia="仿宋_GB2312" w:cs="仿宋_GB2312"/>
          <w:color w:val="auto"/>
          <w:kern w:val="0"/>
          <w:sz w:val="30"/>
          <w:szCs w:val="30"/>
        </w:rPr>
        <w:t>其中：</w:t>
      </w:r>
    </w:p>
    <w:p>
      <w:pPr>
        <w:autoSpaceDE w:val="0"/>
        <w:autoSpaceDN w:val="0"/>
        <w:adjustRightInd w:val="0"/>
        <w:spacing w:line="600" w:lineRule="exact"/>
        <w:ind w:firstLine="720"/>
        <w:jc w:val="left"/>
        <w:rPr>
          <w:rFonts w:ascii="Times New Roman" w:hAnsi="Times New Roman" w:eastAsia="黑体" w:cs="黑体"/>
          <w:b/>
          <w:bCs/>
          <w:color w:val="auto"/>
          <w:kern w:val="0"/>
          <w:sz w:val="30"/>
          <w:szCs w:val="30"/>
        </w:rPr>
      </w:pPr>
      <w:r>
        <w:rPr>
          <w:rFonts w:hint="eastAsia" w:ascii="Times New Roman" w:hAnsi="Times New Roman" w:eastAsia="仿宋_GB2312" w:cs="仿宋_GB2312"/>
          <w:color w:val="auto"/>
          <w:kern w:val="0"/>
          <w:sz w:val="30"/>
          <w:szCs w:val="30"/>
        </w:rPr>
        <w:t>人员经费</w:t>
      </w:r>
      <w:r>
        <w:rPr>
          <w:rFonts w:hint="eastAsia" w:ascii="Times New Roman" w:hAnsi="Times New Roman" w:eastAsia="仿宋_GB2312" w:cs="Times New Roman"/>
          <w:color w:val="auto"/>
          <w:sz w:val="30"/>
          <w:szCs w:val="30"/>
        </w:rPr>
        <w:t>828,781.26</w:t>
      </w:r>
      <w:r>
        <w:rPr>
          <w:rFonts w:hint="eastAsia" w:ascii="Times New Roman" w:hAnsi="Times New Roman" w:eastAsia="仿宋_GB2312" w:cs="仿宋_GB2312"/>
          <w:color w:val="auto"/>
          <w:kern w:val="0"/>
          <w:sz w:val="30"/>
          <w:szCs w:val="30"/>
        </w:rPr>
        <w:t>元，主要包括</w:t>
      </w:r>
      <w:r>
        <w:rPr>
          <w:rFonts w:hint="eastAsia" w:ascii="Times New Roman" w:hAnsi="Times New Roman" w:eastAsia="仿宋_GB2312" w:cs="仿宋_GB2312"/>
          <w:color w:val="auto"/>
          <w:sz w:val="30"/>
          <w:szCs w:val="30"/>
        </w:rPr>
        <w:t>主要包括基本工资、津贴补贴、绩效工资、机关事业单位基本养老保险缴费、职工年金缴费、基本基本医疗保险缴费、其他社会保障缴费、奖金、住房公积金、其他你工资福利支出。</w:t>
      </w:r>
    </w:p>
    <w:p>
      <w:pPr>
        <w:autoSpaceDE w:val="0"/>
        <w:autoSpaceDN w:val="0"/>
        <w:adjustRightInd w:val="0"/>
        <w:spacing w:line="600" w:lineRule="exact"/>
        <w:ind w:firstLine="720"/>
        <w:jc w:val="left"/>
        <w:rPr>
          <w:rFonts w:ascii="Times New Roman" w:hAnsi="Times New Roman" w:eastAsia="黑体" w:cs="黑体"/>
          <w:b/>
          <w:bCs/>
          <w:color w:val="auto"/>
          <w:kern w:val="0"/>
          <w:sz w:val="30"/>
          <w:szCs w:val="30"/>
        </w:rPr>
      </w:pPr>
      <w:r>
        <w:rPr>
          <w:rFonts w:hint="eastAsia" w:ascii="Times New Roman" w:hAnsi="Times New Roman" w:eastAsia="仿宋_GB2312" w:cs="仿宋_GB2312"/>
          <w:color w:val="auto"/>
          <w:kern w:val="0"/>
          <w:sz w:val="30"/>
          <w:szCs w:val="30"/>
        </w:rPr>
        <w:t>公用经费</w:t>
      </w:r>
      <w:r>
        <w:rPr>
          <w:rFonts w:hint="eastAsia" w:ascii="Times New Roman" w:hAnsi="Times New Roman" w:eastAsia="仿宋_GB2312" w:cs="Times New Roman"/>
          <w:color w:val="auto"/>
          <w:sz w:val="30"/>
          <w:szCs w:val="30"/>
        </w:rPr>
        <w:t>41,809.41</w:t>
      </w:r>
      <w:r>
        <w:rPr>
          <w:rFonts w:hint="eastAsia" w:ascii="Times New Roman" w:hAnsi="Times New Roman" w:eastAsia="仿宋_GB2312" w:cs="仿宋_GB2312"/>
          <w:color w:val="auto"/>
          <w:kern w:val="0"/>
          <w:sz w:val="30"/>
          <w:szCs w:val="30"/>
        </w:rPr>
        <w:t>元，主要包括</w:t>
      </w:r>
      <w:r>
        <w:rPr>
          <w:rFonts w:hint="eastAsia" w:ascii="Times New Roman" w:hAnsi="Times New Roman" w:eastAsia="仿宋_GB2312" w:cs="仿宋_GB2312"/>
          <w:color w:val="auto"/>
          <w:sz w:val="30"/>
          <w:szCs w:val="30"/>
        </w:rPr>
        <w:t>主要包括办公费、手续费、工会经费、福利费、其他商品和服务支出。</w:t>
      </w: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rPr>
      </w:pPr>
      <w:r>
        <w:rPr>
          <w:rFonts w:hint="eastAsia" w:ascii="Times New Roman" w:hAnsi="Times New Roman" w:eastAsia="黑体" w:cs="黑体"/>
          <w:b/>
          <w:bCs/>
          <w:color w:val="auto"/>
          <w:kern w:val="0"/>
          <w:sz w:val="30"/>
          <w:szCs w:val="30"/>
        </w:rPr>
        <w:t>七、政府性基金预算财政拨款收支决算情况</w:t>
      </w:r>
    </w:p>
    <w:p>
      <w:pPr>
        <w:autoSpaceDE w:val="0"/>
        <w:autoSpaceDN w:val="0"/>
        <w:adjustRightInd w:val="0"/>
        <w:spacing w:line="600" w:lineRule="exact"/>
        <w:ind w:firstLine="600"/>
        <w:jc w:val="left"/>
        <w:rPr>
          <w:rFonts w:ascii="Times New Roman" w:hAnsi="Times New Roman" w:eastAsia="楷体" w:cs="楷体"/>
          <w:color w:val="auto"/>
          <w:kern w:val="0"/>
          <w:sz w:val="30"/>
          <w:szCs w:val="30"/>
        </w:rPr>
      </w:pPr>
      <w:r>
        <w:rPr>
          <w:rFonts w:hint="eastAsia" w:ascii="Times New Roman" w:hAnsi="Times New Roman" w:eastAsia="仿宋_GB2312" w:cs="仿宋_GB2312"/>
          <w:color w:val="auto"/>
          <w:sz w:val="30"/>
          <w:szCs w:val="30"/>
        </w:rPr>
        <w:t>天津市南开区纪委监委综合服务中心2023年度无政府性基金预算财政拨款收入、支出和结转结余</w:t>
      </w:r>
      <w:r>
        <w:rPr>
          <w:rFonts w:hint="eastAsia" w:ascii="Times New Roman" w:hAnsi="Times New Roman" w:eastAsia="仿宋_GB2312" w:cs="仿宋_GB2312"/>
          <w:color w:val="auto"/>
          <w:sz w:val="30"/>
          <w:szCs w:val="30"/>
        </w:rPr>
        <w:tab/>
      </w: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rPr>
      </w:pPr>
      <w:r>
        <w:rPr>
          <w:rFonts w:hint="eastAsia" w:ascii="Times New Roman" w:hAnsi="Times New Roman" w:eastAsia="黑体" w:cs="黑体"/>
          <w:b/>
          <w:bCs/>
          <w:color w:val="auto"/>
          <w:kern w:val="0"/>
          <w:sz w:val="30"/>
          <w:szCs w:val="30"/>
        </w:rPr>
        <w:t>八、国有资本经营预算财政拨款收支决算情况说明</w:t>
      </w:r>
    </w:p>
    <w:p>
      <w:pPr>
        <w:autoSpaceDE w:val="0"/>
        <w:autoSpaceDN w:val="0"/>
        <w:adjustRightInd w:val="0"/>
        <w:spacing w:line="600" w:lineRule="exact"/>
        <w:ind w:firstLine="600"/>
        <w:jc w:val="left"/>
        <w:rPr>
          <w:rFonts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天津市南开区纪委监委综合服务中心2023年度无国有资本经营预算财政拨款收入、支出和结转结余。</w:t>
      </w: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rPr>
      </w:pPr>
      <w:r>
        <w:rPr>
          <w:rFonts w:hint="eastAsia" w:ascii="Times New Roman" w:hAnsi="Times New Roman" w:eastAsia="黑体" w:cs="黑体"/>
          <w:b/>
          <w:bCs/>
          <w:color w:val="auto"/>
          <w:kern w:val="0"/>
          <w:sz w:val="30"/>
          <w:szCs w:val="30"/>
        </w:rPr>
        <w:t>九、财政拨款</w:t>
      </w:r>
      <w:r>
        <w:rPr>
          <w:rFonts w:ascii="Times New Roman" w:hAnsi="Times New Roman" w:eastAsia="黑体" w:cs="黑体"/>
          <w:b/>
          <w:bCs/>
          <w:color w:val="auto"/>
          <w:kern w:val="0"/>
          <w:sz w:val="30"/>
          <w:szCs w:val="30"/>
        </w:rPr>
        <w:t>“</w:t>
      </w:r>
      <w:r>
        <w:rPr>
          <w:rFonts w:hint="eastAsia" w:ascii="Times New Roman" w:hAnsi="Times New Roman" w:eastAsia="黑体" w:cs="黑体"/>
          <w:b/>
          <w:bCs/>
          <w:color w:val="auto"/>
          <w:kern w:val="0"/>
          <w:sz w:val="30"/>
          <w:szCs w:val="30"/>
        </w:rPr>
        <w:t>三公</w:t>
      </w:r>
      <w:r>
        <w:rPr>
          <w:rFonts w:ascii="Times New Roman" w:hAnsi="Times New Roman" w:eastAsia="黑体" w:cs="黑体"/>
          <w:b/>
          <w:bCs/>
          <w:color w:val="auto"/>
          <w:kern w:val="0"/>
          <w:sz w:val="30"/>
          <w:szCs w:val="30"/>
        </w:rPr>
        <w:t>”</w:t>
      </w:r>
      <w:r>
        <w:rPr>
          <w:rFonts w:hint="eastAsia" w:ascii="Times New Roman" w:hAnsi="Times New Roman" w:eastAsia="黑体" w:cs="黑体"/>
          <w:b/>
          <w:bCs/>
          <w:color w:val="auto"/>
          <w:kern w:val="0"/>
          <w:sz w:val="30"/>
          <w:szCs w:val="30"/>
        </w:rPr>
        <w:t>经费</w:t>
      </w:r>
      <w:r>
        <w:rPr>
          <w:rFonts w:hint="eastAsia" w:ascii="Times New Roman" w:hAnsi="Times New Roman" w:eastAsia="黑体" w:cs="黑体"/>
          <w:b/>
          <w:bCs/>
          <w:color w:val="auto"/>
          <w:kern w:val="0"/>
          <w:sz w:val="30"/>
          <w:szCs w:val="30"/>
          <w:lang w:val="zh-CN"/>
        </w:rPr>
        <w:t>支出决算</w:t>
      </w:r>
      <w:r>
        <w:rPr>
          <w:rFonts w:hint="eastAsia" w:ascii="Times New Roman" w:hAnsi="Times New Roman" w:eastAsia="黑体" w:cs="黑体"/>
          <w:b/>
          <w:bCs/>
          <w:color w:val="auto"/>
          <w:kern w:val="0"/>
          <w:sz w:val="30"/>
          <w:szCs w:val="30"/>
        </w:rPr>
        <w:t>情况</w:t>
      </w:r>
    </w:p>
    <w:p>
      <w:pPr>
        <w:autoSpaceDE w:val="0"/>
        <w:autoSpaceDN w:val="0"/>
        <w:adjustRightInd w:val="0"/>
        <w:spacing w:line="600" w:lineRule="exact"/>
        <w:ind w:firstLine="602"/>
        <w:jc w:val="left"/>
        <w:rPr>
          <w:rFonts w:ascii="Times New Roman" w:hAnsi="Times New Roman" w:eastAsia="楷体" w:cs="楷体"/>
          <w:b/>
          <w:bCs/>
          <w:color w:val="auto"/>
          <w:kern w:val="0"/>
          <w:sz w:val="30"/>
          <w:szCs w:val="30"/>
        </w:rPr>
      </w:pPr>
      <w:r>
        <w:rPr>
          <w:rFonts w:hint="eastAsia" w:ascii="Times New Roman" w:hAnsi="Times New Roman" w:eastAsia="楷体" w:cs="楷体"/>
          <w:b/>
          <w:bCs/>
          <w:color w:val="auto"/>
          <w:kern w:val="0"/>
          <w:sz w:val="30"/>
          <w:szCs w:val="30"/>
        </w:rPr>
        <w:t>（一）总体情况</w:t>
      </w:r>
      <w:r>
        <w:rPr>
          <w:rFonts w:hint="eastAsia" w:ascii="Times New Roman" w:hAnsi="Times New Roman" w:eastAsia="楷体" w:cs="楷体"/>
          <w:b/>
          <w:bCs/>
          <w:color w:val="auto"/>
          <w:kern w:val="0"/>
          <w:sz w:val="30"/>
          <w:szCs w:val="30"/>
        </w:rPr>
        <w:tab/>
      </w:r>
      <w:r>
        <w:rPr>
          <w:rFonts w:hint="eastAsia" w:ascii="Times New Roman" w:hAnsi="Times New Roman" w:eastAsia="楷体" w:cs="楷体"/>
          <w:b/>
          <w:bCs/>
          <w:color w:val="auto"/>
          <w:kern w:val="0"/>
          <w:sz w:val="30"/>
          <w:szCs w:val="30"/>
        </w:rPr>
        <w:tab/>
      </w:r>
      <w:r>
        <w:rPr>
          <w:rFonts w:hint="eastAsia" w:ascii="Times New Roman" w:hAnsi="Times New Roman" w:eastAsia="楷体" w:cs="楷体"/>
          <w:b/>
          <w:bCs/>
          <w:color w:val="auto"/>
          <w:kern w:val="0"/>
          <w:sz w:val="30"/>
          <w:szCs w:val="30"/>
        </w:rPr>
        <w:tab/>
      </w:r>
      <w:r>
        <w:rPr>
          <w:rFonts w:hint="eastAsia" w:ascii="Times New Roman" w:hAnsi="Times New Roman" w:eastAsia="楷体" w:cs="楷体"/>
          <w:b/>
          <w:bCs/>
          <w:color w:val="auto"/>
          <w:kern w:val="0"/>
          <w:sz w:val="30"/>
          <w:szCs w:val="30"/>
        </w:rPr>
        <w:tab/>
      </w:r>
    </w:p>
    <w:p>
      <w:pPr>
        <w:autoSpaceDE w:val="0"/>
        <w:autoSpaceDN w:val="0"/>
        <w:adjustRightInd w:val="0"/>
        <w:spacing w:line="600" w:lineRule="exact"/>
        <w:ind w:firstLine="600"/>
        <w:jc w:val="left"/>
        <w:rPr>
          <w:rFonts w:ascii="Times New Roman" w:hAnsi="Times New Roman" w:eastAsia="仿宋_GB2312" w:cs="Times New Roman"/>
          <w:color w:val="auto"/>
          <w:kern w:val="0"/>
          <w:sz w:val="30"/>
          <w:szCs w:val="30"/>
        </w:rPr>
      </w:pPr>
      <w:r>
        <w:rPr>
          <w:rFonts w:ascii="Times New Roman" w:hAnsi="Times New Roman" w:eastAsia="仿宋_GB2312" w:cs="仿宋_GB2312"/>
          <w:color w:val="auto"/>
          <w:kern w:val="0"/>
          <w:sz w:val="30"/>
          <w:szCs w:val="30"/>
        </w:rPr>
        <w:t>202</w:t>
      </w:r>
      <w:r>
        <w:rPr>
          <w:rFonts w:hint="eastAsia" w:ascii="Times New Roman" w:hAnsi="Times New Roman" w:eastAsia="仿宋_GB2312" w:cs="仿宋_GB2312"/>
          <w:color w:val="auto"/>
          <w:kern w:val="0"/>
          <w:sz w:val="30"/>
          <w:szCs w:val="30"/>
        </w:rPr>
        <w:t>3年财政拨款</w:t>
      </w:r>
      <w:r>
        <w:rPr>
          <w:rFonts w:ascii="Times New Roman" w:hAnsi="Times New Roman" w:eastAsia="仿宋_GB2312" w:cs="仿宋_GB2312"/>
          <w:color w:val="auto"/>
          <w:kern w:val="0"/>
          <w:sz w:val="30"/>
          <w:szCs w:val="30"/>
        </w:rPr>
        <w:t>“</w:t>
      </w:r>
      <w:r>
        <w:rPr>
          <w:rFonts w:hint="eastAsia" w:ascii="Times New Roman" w:hAnsi="Times New Roman" w:eastAsia="仿宋_GB2312" w:cs="仿宋_GB2312"/>
          <w:color w:val="auto"/>
          <w:kern w:val="0"/>
          <w:sz w:val="30"/>
          <w:szCs w:val="30"/>
        </w:rPr>
        <w:t>三公</w:t>
      </w:r>
      <w:r>
        <w:rPr>
          <w:rFonts w:ascii="Times New Roman" w:hAnsi="Times New Roman" w:eastAsia="仿宋_GB2312" w:cs="仿宋_GB2312"/>
          <w:color w:val="auto"/>
          <w:kern w:val="0"/>
          <w:sz w:val="30"/>
          <w:szCs w:val="30"/>
        </w:rPr>
        <w:t>”</w:t>
      </w:r>
      <w:r>
        <w:rPr>
          <w:rFonts w:hint="eastAsia" w:ascii="Times New Roman" w:hAnsi="Times New Roman" w:eastAsia="仿宋_GB2312" w:cs="仿宋_GB2312"/>
          <w:color w:val="auto"/>
          <w:kern w:val="0"/>
          <w:sz w:val="30"/>
          <w:szCs w:val="30"/>
        </w:rPr>
        <w:t>经费预算</w:t>
      </w:r>
      <w:r>
        <w:rPr>
          <w:rFonts w:hint="eastAsia" w:ascii="Times New Roman" w:hAnsi="Times New Roman" w:eastAsia="仿宋_GB2312" w:cs="Times New Roman"/>
          <w:color w:val="auto"/>
          <w:kern w:val="0"/>
          <w:sz w:val="30"/>
          <w:szCs w:val="30"/>
        </w:rPr>
        <w:t>0.00</w:t>
      </w:r>
      <w:r>
        <w:rPr>
          <w:rFonts w:hint="eastAsia" w:ascii="Times New Roman" w:hAnsi="Times New Roman" w:eastAsia="仿宋_GB2312" w:cs="仿宋_GB2312"/>
          <w:color w:val="auto"/>
          <w:kern w:val="0"/>
          <w:sz w:val="30"/>
          <w:szCs w:val="30"/>
        </w:rPr>
        <w:t>元，支出决算</w:t>
      </w:r>
      <w:r>
        <w:rPr>
          <w:rFonts w:hint="eastAsia" w:ascii="Times New Roman" w:hAnsi="Times New Roman" w:eastAsia="仿宋_GB2312" w:cs="Times New Roman"/>
          <w:color w:val="auto"/>
          <w:kern w:val="0"/>
          <w:sz w:val="30"/>
          <w:szCs w:val="30"/>
        </w:rPr>
        <w:t>0.00</w:t>
      </w:r>
      <w:r>
        <w:rPr>
          <w:rFonts w:hint="eastAsia" w:ascii="Times New Roman" w:hAnsi="Times New Roman" w:eastAsia="仿宋_GB2312" w:cs="仿宋_GB2312"/>
          <w:color w:val="auto"/>
          <w:kern w:val="0"/>
          <w:sz w:val="30"/>
          <w:szCs w:val="30"/>
        </w:rPr>
        <w:t>元，与</w:t>
      </w:r>
      <w:r>
        <w:rPr>
          <w:rFonts w:ascii="Times New Roman" w:hAnsi="Times New Roman" w:eastAsia="仿宋_GB2312" w:cs="仿宋_GB2312"/>
          <w:color w:val="auto"/>
          <w:kern w:val="0"/>
          <w:sz w:val="30"/>
          <w:szCs w:val="30"/>
        </w:rPr>
        <w:t>202</w:t>
      </w:r>
      <w:r>
        <w:rPr>
          <w:rFonts w:hint="eastAsia" w:ascii="Times New Roman" w:hAnsi="Times New Roman" w:eastAsia="仿宋_GB2312" w:cs="仿宋_GB2312"/>
          <w:color w:val="auto"/>
          <w:kern w:val="0"/>
          <w:sz w:val="30"/>
          <w:szCs w:val="30"/>
        </w:rPr>
        <w:t>3年预算相比</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；较上年</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。决算数</w:t>
      </w:r>
      <w:r>
        <w:rPr>
          <w:rFonts w:hint="eastAsia" w:ascii="Times New Roman" w:hAnsi="Times New Roman" w:eastAsia="仿宋_GB2312" w:cs="仿宋_GB2312"/>
          <w:color w:val="auto"/>
          <w:sz w:val="30"/>
          <w:szCs w:val="30"/>
        </w:rPr>
        <w:t>等于</w:t>
      </w:r>
      <w:r>
        <w:rPr>
          <w:rFonts w:hint="eastAsia" w:ascii="Times New Roman" w:hAnsi="Times New Roman" w:eastAsia="仿宋_GB2312" w:cs="仿宋_GB2312"/>
          <w:color w:val="auto"/>
          <w:kern w:val="0"/>
          <w:sz w:val="30"/>
          <w:szCs w:val="30"/>
        </w:rPr>
        <w:t>预算数的主要原因是：</w:t>
      </w:r>
      <w:r>
        <w:rPr>
          <w:rFonts w:hint="eastAsia" w:ascii="Times New Roman" w:hAnsi="Times New Roman" w:eastAsia="仿宋_GB2312" w:cs="仿宋_GB2312"/>
          <w:color w:val="auto"/>
          <w:sz w:val="30"/>
          <w:szCs w:val="30"/>
        </w:rPr>
        <w:t>本年度未用财政拨款经费列支“三公”经费</w:t>
      </w:r>
      <w:r>
        <w:rPr>
          <w:rFonts w:hint="eastAsia" w:ascii="Times New Roman" w:hAnsi="Times New Roman" w:eastAsia="仿宋_GB2312" w:cs="仿宋_GB2312"/>
          <w:color w:val="auto"/>
          <w:kern w:val="0"/>
          <w:sz w:val="30"/>
          <w:szCs w:val="30"/>
        </w:rPr>
        <w:t>；决算数较上年</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的主要原因是：</w:t>
      </w:r>
      <w:r>
        <w:rPr>
          <w:rFonts w:hint="eastAsia" w:ascii="Times New Roman" w:hAnsi="Times New Roman" w:eastAsia="仿宋_GB2312" w:cs="仿宋_GB2312"/>
          <w:color w:val="auto"/>
          <w:sz w:val="30"/>
          <w:szCs w:val="30"/>
        </w:rPr>
        <w:t>本年度未用财政拨款经费列支“三公”经费。</w:t>
      </w:r>
    </w:p>
    <w:p>
      <w:pPr>
        <w:autoSpaceDE w:val="0"/>
        <w:autoSpaceDN w:val="0"/>
        <w:adjustRightInd w:val="0"/>
        <w:spacing w:line="600" w:lineRule="exact"/>
        <w:ind w:firstLine="602"/>
        <w:jc w:val="left"/>
        <w:rPr>
          <w:rFonts w:ascii="Times New Roman" w:hAnsi="Times New Roman" w:eastAsia="楷体" w:cs="楷体"/>
          <w:b/>
          <w:bCs/>
          <w:color w:val="auto"/>
          <w:kern w:val="0"/>
          <w:sz w:val="30"/>
          <w:szCs w:val="30"/>
        </w:rPr>
      </w:pPr>
      <w:r>
        <w:rPr>
          <w:rFonts w:hint="eastAsia" w:ascii="Times New Roman" w:hAnsi="Times New Roman" w:eastAsia="楷体" w:cs="楷体"/>
          <w:b/>
          <w:bCs/>
          <w:color w:val="auto"/>
          <w:kern w:val="0"/>
          <w:sz w:val="30"/>
          <w:szCs w:val="30"/>
        </w:rPr>
        <w:t>（二）具体情况</w:t>
      </w:r>
    </w:p>
    <w:p>
      <w:pPr>
        <w:autoSpaceDE w:val="0"/>
        <w:autoSpaceDN w:val="0"/>
        <w:adjustRightInd w:val="0"/>
        <w:spacing w:line="600" w:lineRule="exact"/>
        <w:ind w:firstLine="600"/>
        <w:jc w:val="left"/>
        <w:rPr>
          <w:rFonts w:ascii="Times New Roman" w:hAnsi="Times New Roman" w:eastAsia="仿宋_GB2312" w:cs="仿宋_GB2312"/>
          <w:color w:val="auto"/>
          <w:kern w:val="0"/>
          <w:sz w:val="30"/>
          <w:szCs w:val="30"/>
        </w:rPr>
      </w:pPr>
      <w:r>
        <w:rPr>
          <w:rFonts w:ascii="Times New Roman" w:hAnsi="Times New Roman" w:eastAsia="仿宋_GB2312" w:cs="仿宋_GB2312"/>
          <w:color w:val="auto"/>
          <w:kern w:val="0"/>
          <w:sz w:val="30"/>
          <w:szCs w:val="30"/>
        </w:rPr>
        <w:t>1.</w:t>
      </w:r>
      <w:r>
        <w:rPr>
          <w:rFonts w:hint="eastAsia" w:ascii="Times New Roman" w:hAnsi="Times New Roman" w:eastAsia="仿宋_GB2312" w:cs="仿宋_GB2312"/>
          <w:color w:val="auto"/>
          <w:kern w:val="0"/>
          <w:sz w:val="30"/>
          <w:szCs w:val="30"/>
        </w:rPr>
        <w:t>因公出国（境）费预算</w:t>
      </w:r>
      <w:r>
        <w:rPr>
          <w:rFonts w:hint="eastAsia" w:ascii="Times New Roman" w:hAnsi="Times New Roman" w:eastAsia="仿宋_GB2312" w:cs="Times New Roman"/>
          <w:color w:val="auto"/>
          <w:kern w:val="0"/>
          <w:sz w:val="30"/>
          <w:szCs w:val="30"/>
        </w:rPr>
        <w:t>0.00</w:t>
      </w:r>
      <w:r>
        <w:rPr>
          <w:rFonts w:hint="eastAsia" w:ascii="Times New Roman" w:hAnsi="Times New Roman" w:eastAsia="仿宋_GB2312" w:cs="仿宋_GB2312"/>
          <w:color w:val="auto"/>
          <w:kern w:val="0"/>
          <w:sz w:val="30"/>
          <w:szCs w:val="30"/>
        </w:rPr>
        <w:t>元，支出决算</w:t>
      </w:r>
      <w:r>
        <w:rPr>
          <w:rFonts w:hint="eastAsia" w:ascii="Times New Roman" w:hAnsi="Times New Roman" w:eastAsia="仿宋_GB2312" w:cs="Times New Roman"/>
          <w:color w:val="auto"/>
          <w:kern w:val="0"/>
          <w:sz w:val="30"/>
          <w:szCs w:val="30"/>
        </w:rPr>
        <w:t>0.00</w:t>
      </w:r>
      <w:r>
        <w:rPr>
          <w:rFonts w:hint="eastAsia" w:ascii="Times New Roman" w:hAnsi="Times New Roman" w:eastAsia="仿宋_GB2312" w:cs="仿宋_GB2312"/>
          <w:color w:val="auto"/>
          <w:kern w:val="0"/>
          <w:sz w:val="30"/>
          <w:szCs w:val="30"/>
        </w:rPr>
        <w:t>元，与预算相比</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，较上年</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。决算数</w:t>
      </w:r>
      <w:r>
        <w:rPr>
          <w:rFonts w:hint="eastAsia" w:ascii="Times New Roman" w:hAnsi="Times New Roman" w:eastAsia="仿宋_GB2312" w:cs="仿宋_GB2312"/>
          <w:color w:val="auto"/>
          <w:sz w:val="30"/>
          <w:szCs w:val="30"/>
        </w:rPr>
        <w:t>等于</w:t>
      </w:r>
      <w:r>
        <w:rPr>
          <w:rFonts w:hint="eastAsia" w:ascii="Times New Roman" w:hAnsi="Times New Roman" w:eastAsia="仿宋_GB2312" w:cs="仿宋_GB2312"/>
          <w:color w:val="auto"/>
          <w:kern w:val="0"/>
          <w:sz w:val="30"/>
          <w:szCs w:val="30"/>
        </w:rPr>
        <w:t>预算数且决算数较上年</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的主要原因是：</w:t>
      </w:r>
      <w:r>
        <w:rPr>
          <w:rFonts w:hint="eastAsia" w:ascii="Times New Roman" w:hAnsi="Times New Roman" w:eastAsia="仿宋_GB2312" w:cs="仿宋_GB2312"/>
          <w:color w:val="auto"/>
          <w:sz w:val="30"/>
          <w:szCs w:val="30"/>
        </w:rPr>
        <w:t>本年度未用财政拨款经费列支因公出国（境）费。</w:t>
      </w:r>
    </w:p>
    <w:p>
      <w:pPr>
        <w:autoSpaceDE w:val="0"/>
        <w:autoSpaceDN w:val="0"/>
        <w:adjustRightInd w:val="0"/>
        <w:spacing w:line="600" w:lineRule="exact"/>
        <w:ind w:firstLine="600"/>
        <w:jc w:val="left"/>
        <w:rPr>
          <w:rFonts w:ascii="Times New Roman" w:hAnsi="Times New Roman" w:eastAsia="仿宋_GB2312" w:cs="Times New Roman"/>
          <w:color w:val="auto"/>
          <w:kern w:val="0"/>
          <w:sz w:val="30"/>
          <w:szCs w:val="30"/>
        </w:rPr>
      </w:pPr>
      <w:r>
        <w:rPr>
          <w:rFonts w:ascii="Times New Roman" w:hAnsi="Times New Roman" w:eastAsia="仿宋_GB2312" w:cs="仿宋_GB2312"/>
          <w:color w:val="auto"/>
          <w:kern w:val="0"/>
          <w:sz w:val="30"/>
          <w:szCs w:val="30"/>
        </w:rPr>
        <w:t>202</w:t>
      </w:r>
      <w:r>
        <w:rPr>
          <w:rFonts w:hint="eastAsia" w:ascii="Times New Roman" w:hAnsi="Times New Roman" w:eastAsia="仿宋_GB2312" w:cs="仿宋_GB2312"/>
          <w:color w:val="auto"/>
          <w:kern w:val="0"/>
          <w:sz w:val="30"/>
          <w:szCs w:val="30"/>
        </w:rPr>
        <w:t>3年本单位组织的出国团组</w:t>
      </w:r>
      <w:r>
        <w:rPr>
          <w:rFonts w:hint="eastAsia" w:ascii="Times New Roman" w:hAnsi="Times New Roman" w:eastAsia="仿宋_GB2312" w:cs="Times New Roman"/>
          <w:color w:val="auto"/>
          <w:kern w:val="0"/>
          <w:sz w:val="30"/>
          <w:szCs w:val="30"/>
        </w:rPr>
        <w:t>0</w:t>
      </w:r>
      <w:r>
        <w:rPr>
          <w:rFonts w:hint="eastAsia" w:ascii="Times New Roman" w:hAnsi="Times New Roman" w:eastAsia="仿宋_GB2312" w:cs="仿宋_GB2312"/>
          <w:color w:val="auto"/>
          <w:kern w:val="0"/>
          <w:sz w:val="30"/>
          <w:szCs w:val="30"/>
        </w:rPr>
        <w:t>个，出国</w:t>
      </w:r>
      <w:r>
        <w:rPr>
          <w:rFonts w:hint="eastAsia" w:ascii="Times New Roman" w:hAnsi="Times New Roman" w:eastAsia="仿宋_GB2312" w:cs="Times New Roman"/>
          <w:color w:val="auto"/>
          <w:kern w:val="0"/>
          <w:sz w:val="30"/>
          <w:szCs w:val="30"/>
        </w:rPr>
        <w:t>0</w:t>
      </w:r>
      <w:r>
        <w:rPr>
          <w:rFonts w:hint="eastAsia" w:ascii="Times New Roman" w:hAnsi="Times New Roman" w:eastAsia="仿宋_GB2312" w:cs="仿宋_GB2312"/>
          <w:color w:val="auto"/>
          <w:kern w:val="0"/>
          <w:sz w:val="30"/>
          <w:szCs w:val="30"/>
        </w:rPr>
        <w:t>人次。</w:t>
      </w:r>
    </w:p>
    <w:p>
      <w:pPr>
        <w:autoSpaceDE w:val="0"/>
        <w:autoSpaceDN w:val="0"/>
        <w:adjustRightInd w:val="0"/>
        <w:spacing w:line="600" w:lineRule="exact"/>
        <w:ind w:firstLine="600"/>
        <w:jc w:val="left"/>
        <w:rPr>
          <w:rFonts w:ascii="Times New Roman" w:hAnsi="Times New Roman" w:eastAsia="仿宋_GB2312" w:cs="Times New Roman"/>
          <w:color w:val="auto"/>
          <w:kern w:val="0"/>
          <w:sz w:val="30"/>
          <w:szCs w:val="30"/>
        </w:rPr>
      </w:pPr>
      <w:r>
        <w:rPr>
          <w:rFonts w:ascii="Times New Roman" w:hAnsi="Times New Roman" w:eastAsia="仿宋_GB2312" w:cs="仿宋_GB2312"/>
          <w:color w:val="auto"/>
          <w:kern w:val="0"/>
          <w:sz w:val="30"/>
          <w:szCs w:val="30"/>
        </w:rPr>
        <w:t>2.</w:t>
      </w:r>
      <w:r>
        <w:rPr>
          <w:rFonts w:hint="eastAsia" w:ascii="Times New Roman" w:hAnsi="Times New Roman" w:eastAsia="仿宋_GB2312" w:cs="仿宋_GB2312"/>
          <w:color w:val="auto"/>
          <w:kern w:val="0"/>
          <w:sz w:val="30"/>
          <w:szCs w:val="30"/>
        </w:rPr>
        <w:t>公务用车购置及运行维护费预算</w:t>
      </w:r>
      <w:r>
        <w:rPr>
          <w:rFonts w:hint="eastAsia" w:ascii="Times New Roman" w:hAnsi="Times New Roman" w:eastAsia="仿宋_GB2312" w:cs="Times New Roman"/>
          <w:color w:val="auto"/>
          <w:kern w:val="0"/>
          <w:sz w:val="30"/>
          <w:szCs w:val="30"/>
        </w:rPr>
        <w:t>0.00</w:t>
      </w:r>
      <w:r>
        <w:rPr>
          <w:rFonts w:hint="eastAsia" w:ascii="Times New Roman" w:hAnsi="Times New Roman" w:eastAsia="仿宋_GB2312" w:cs="仿宋_GB2312"/>
          <w:color w:val="auto"/>
          <w:kern w:val="0"/>
          <w:sz w:val="30"/>
          <w:szCs w:val="30"/>
        </w:rPr>
        <w:t>元，支出决算</w:t>
      </w:r>
      <w:r>
        <w:rPr>
          <w:rFonts w:hint="eastAsia" w:ascii="Times New Roman" w:hAnsi="Times New Roman" w:eastAsia="仿宋_GB2312" w:cs="Times New Roman"/>
          <w:color w:val="auto"/>
          <w:kern w:val="0"/>
          <w:sz w:val="30"/>
          <w:szCs w:val="30"/>
        </w:rPr>
        <w:t>0.00</w:t>
      </w:r>
      <w:r>
        <w:rPr>
          <w:rFonts w:hint="eastAsia" w:ascii="Times New Roman" w:hAnsi="Times New Roman" w:eastAsia="仿宋_GB2312" w:cs="仿宋_GB2312"/>
          <w:color w:val="auto"/>
          <w:kern w:val="0"/>
          <w:sz w:val="30"/>
          <w:szCs w:val="30"/>
        </w:rPr>
        <w:t>元，与预算相比</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，较上年</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。决算数</w:t>
      </w:r>
      <w:r>
        <w:rPr>
          <w:rFonts w:hint="eastAsia" w:ascii="Times New Roman" w:hAnsi="Times New Roman" w:eastAsia="仿宋_GB2312" w:cs="仿宋_GB2312"/>
          <w:color w:val="auto"/>
          <w:sz w:val="30"/>
          <w:szCs w:val="30"/>
        </w:rPr>
        <w:t>等于</w:t>
      </w:r>
      <w:r>
        <w:rPr>
          <w:rFonts w:hint="eastAsia" w:ascii="Times New Roman" w:hAnsi="Times New Roman" w:eastAsia="仿宋_GB2312" w:cs="仿宋_GB2312"/>
          <w:color w:val="auto"/>
          <w:kern w:val="0"/>
          <w:sz w:val="30"/>
          <w:szCs w:val="30"/>
        </w:rPr>
        <w:t>预算数且决算数较上年</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的主要原因是：</w:t>
      </w:r>
      <w:r>
        <w:rPr>
          <w:rFonts w:hint="eastAsia" w:ascii="Times New Roman" w:hAnsi="Times New Roman" w:eastAsia="仿宋_GB2312" w:cs="仿宋_GB2312"/>
          <w:color w:val="auto"/>
          <w:sz w:val="30"/>
          <w:szCs w:val="30"/>
        </w:rPr>
        <w:t>本年度未用财政拨款经费列支公务用车购置费及公务用车运行维护费。</w:t>
      </w:r>
      <w:r>
        <w:rPr>
          <w:rFonts w:hint="eastAsia" w:ascii="Times New Roman" w:hAnsi="Times New Roman" w:eastAsia="仿宋_GB2312" w:cs="仿宋_GB2312"/>
          <w:color w:val="auto"/>
          <w:kern w:val="0"/>
          <w:sz w:val="30"/>
          <w:szCs w:val="30"/>
        </w:rPr>
        <w:t>其中：</w:t>
      </w:r>
    </w:p>
    <w:p>
      <w:pPr>
        <w:autoSpaceDE w:val="0"/>
        <w:autoSpaceDN w:val="0"/>
        <w:adjustRightInd w:val="0"/>
        <w:spacing w:line="600" w:lineRule="exact"/>
        <w:ind w:firstLine="600"/>
        <w:jc w:val="left"/>
        <w:rPr>
          <w:rFonts w:ascii="Times New Roman" w:hAnsi="Times New Roman" w:eastAsia="仿宋_GB2312" w:cs="仿宋_GB2312"/>
          <w:color w:val="auto"/>
          <w:kern w:val="0"/>
          <w:sz w:val="30"/>
          <w:szCs w:val="30"/>
        </w:rPr>
      </w:pPr>
      <w:r>
        <w:rPr>
          <w:rFonts w:hint="eastAsia" w:ascii="Times New Roman" w:hAnsi="Times New Roman" w:eastAsia="仿宋_GB2312" w:cs="仿宋_GB2312"/>
          <w:color w:val="auto"/>
          <w:kern w:val="0"/>
          <w:sz w:val="30"/>
          <w:szCs w:val="30"/>
        </w:rPr>
        <w:t>公务用车运行维护费预算</w:t>
      </w:r>
      <w:r>
        <w:rPr>
          <w:rFonts w:hint="eastAsia" w:ascii="Times New Roman" w:hAnsi="Times New Roman" w:eastAsia="仿宋_GB2312" w:cs="Times New Roman"/>
          <w:color w:val="auto"/>
          <w:kern w:val="0"/>
          <w:sz w:val="30"/>
          <w:szCs w:val="30"/>
        </w:rPr>
        <w:t>0.00</w:t>
      </w:r>
      <w:r>
        <w:rPr>
          <w:rFonts w:hint="eastAsia" w:ascii="Times New Roman" w:hAnsi="Times New Roman" w:eastAsia="仿宋_GB2312" w:cs="仿宋_GB2312"/>
          <w:color w:val="auto"/>
          <w:kern w:val="0"/>
          <w:sz w:val="30"/>
          <w:szCs w:val="30"/>
        </w:rPr>
        <w:t>元，支出决算</w:t>
      </w:r>
      <w:r>
        <w:rPr>
          <w:rFonts w:hint="eastAsia" w:ascii="Times New Roman" w:hAnsi="Times New Roman" w:eastAsia="仿宋_GB2312" w:cs="Times New Roman"/>
          <w:color w:val="auto"/>
          <w:kern w:val="0"/>
          <w:sz w:val="30"/>
          <w:szCs w:val="30"/>
        </w:rPr>
        <w:t>0.00</w:t>
      </w:r>
      <w:r>
        <w:rPr>
          <w:rFonts w:hint="eastAsia" w:ascii="Times New Roman" w:hAnsi="Times New Roman" w:eastAsia="仿宋_GB2312" w:cs="仿宋_GB2312"/>
          <w:color w:val="auto"/>
          <w:kern w:val="0"/>
          <w:sz w:val="30"/>
          <w:szCs w:val="30"/>
        </w:rPr>
        <w:t>元，与预算相比</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，较上年</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。决算数</w:t>
      </w:r>
      <w:r>
        <w:rPr>
          <w:rFonts w:hint="eastAsia" w:ascii="Times New Roman" w:hAnsi="Times New Roman" w:eastAsia="仿宋_GB2312" w:cs="仿宋_GB2312"/>
          <w:color w:val="auto"/>
          <w:sz w:val="30"/>
          <w:szCs w:val="30"/>
        </w:rPr>
        <w:t>等于</w:t>
      </w:r>
      <w:r>
        <w:rPr>
          <w:rFonts w:hint="eastAsia" w:ascii="Times New Roman" w:hAnsi="Times New Roman" w:eastAsia="仿宋_GB2312" w:cs="仿宋_GB2312"/>
          <w:color w:val="auto"/>
          <w:kern w:val="0"/>
          <w:sz w:val="30"/>
          <w:szCs w:val="30"/>
        </w:rPr>
        <w:t>预算数且决算数较上年</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的主要原因是：</w:t>
      </w:r>
      <w:r>
        <w:rPr>
          <w:rFonts w:hint="eastAsia" w:ascii="Times New Roman" w:hAnsi="Times New Roman" w:eastAsia="仿宋_GB2312" w:cs="仿宋_GB2312"/>
          <w:color w:val="auto"/>
          <w:sz w:val="30"/>
          <w:szCs w:val="30"/>
        </w:rPr>
        <w:t>本年度未用财政拨款经费列支公务用车运行维护费。</w:t>
      </w:r>
    </w:p>
    <w:p>
      <w:pPr>
        <w:autoSpaceDE w:val="0"/>
        <w:autoSpaceDN w:val="0"/>
        <w:adjustRightInd w:val="0"/>
        <w:spacing w:line="600" w:lineRule="exact"/>
        <w:ind w:firstLine="600"/>
        <w:jc w:val="left"/>
        <w:rPr>
          <w:rFonts w:ascii="Times New Roman" w:hAnsi="Times New Roman" w:eastAsia="仿宋_GB2312" w:cs="Times New Roman"/>
          <w:color w:val="auto"/>
          <w:kern w:val="0"/>
          <w:sz w:val="30"/>
          <w:szCs w:val="30"/>
        </w:rPr>
      </w:pPr>
      <w:r>
        <w:rPr>
          <w:rFonts w:hint="eastAsia" w:ascii="Times New Roman" w:hAnsi="Times New Roman" w:eastAsia="仿宋_GB2312" w:cs="仿宋_GB2312"/>
          <w:color w:val="auto"/>
          <w:kern w:val="0"/>
          <w:sz w:val="30"/>
          <w:szCs w:val="30"/>
        </w:rPr>
        <w:t>截至</w:t>
      </w:r>
      <w:r>
        <w:rPr>
          <w:rFonts w:ascii="Times New Roman" w:hAnsi="Times New Roman" w:eastAsia="仿宋_GB2312" w:cs="仿宋_GB2312"/>
          <w:color w:val="auto"/>
          <w:kern w:val="0"/>
          <w:sz w:val="30"/>
          <w:szCs w:val="30"/>
        </w:rPr>
        <w:t>202</w:t>
      </w:r>
      <w:r>
        <w:rPr>
          <w:rFonts w:hint="eastAsia" w:ascii="Times New Roman" w:hAnsi="Times New Roman" w:eastAsia="仿宋_GB2312" w:cs="仿宋_GB2312"/>
          <w:color w:val="auto"/>
          <w:kern w:val="0"/>
          <w:sz w:val="30"/>
          <w:szCs w:val="30"/>
        </w:rPr>
        <w:t>3年</w:t>
      </w:r>
      <w:r>
        <w:rPr>
          <w:rFonts w:ascii="Times New Roman" w:hAnsi="Times New Roman" w:eastAsia="仿宋_GB2312" w:cs="仿宋_GB2312"/>
          <w:color w:val="auto"/>
          <w:kern w:val="0"/>
          <w:sz w:val="30"/>
          <w:szCs w:val="30"/>
        </w:rPr>
        <w:t>12</w:t>
      </w:r>
      <w:r>
        <w:rPr>
          <w:rFonts w:hint="eastAsia" w:ascii="Times New Roman" w:hAnsi="Times New Roman" w:eastAsia="仿宋_GB2312" w:cs="仿宋_GB2312"/>
          <w:color w:val="auto"/>
          <w:kern w:val="0"/>
          <w:sz w:val="30"/>
          <w:szCs w:val="30"/>
        </w:rPr>
        <w:t>月</w:t>
      </w:r>
      <w:r>
        <w:rPr>
          <w:rFonts w:ascii="Times New Roman" w:hAnsi="Times New Roman" w:eastAsia="仿宋_GB2312" w:cs="仿宋_GB2312"/>
          <w:color w:val="auto"/>
          <w:kern w:val="0"/>
          <w:sz w:val="30"/>
          <w:szCs w:val="30"/>
        </w:rPr>
        <w:t>31</w:t>
      </w:r>
      <w:r>
        <w:rPr>
          <w:rFonts w:hint="eastAsia" w:ascii="Times New Roman" w:hAnsi="Times New Roman" w:eastAsia="仿宋_GB2312" w:cs="仿宋_GB2312"/>
          <w:color w:val="auto"/>
          <w:kern w:val="0"/>
          <w:sz w:val="30"/>
          <w:szCs w:val="30"/>
        </w:rPr>
        <w:t>日，使用财政拨款开支运行维护费的公务用车保有量为</w:t>
      </w:r>
      <w:r>
        <w:rPr>
          <w:rFonts w:hint="eastAsia" w:ascii="Times New Roman" w:hAnsi="Times New Roman" w:eastAsia="仿宋_GB2312" w:cs="Times New Roman"/>
          <w:color w:val="auto"/>
          <w:kern w:val="0"/>
          <w:sz w:val="30"/>
          <w:szCs w:val="30"/>
        </w:rPr>
        <w:t>0</w:t>
      </w:r>
      <w:r>
        <w:rPr>
          <w:rFonts w:hint="eastAsia" w:ascii="Times New Roman" w:hAnsi="Times New Roman" w:eastAsia="仿宋_GB2312" w:cs="仿宋_GB2312"/>
          <w:color w:val="auto"/>
          <w:kern w:val="0"/>
          <w:sz w:val="30"/>
          <w:szCs w:val="30"/>
        </w:rPr>
        <w:t>辆。</w:t>
      </w:r>
    </w:p>
    <w:p>
      <w:pPr>
        <w:autoSpaceDE w:val="0"/>
        <w:autoSpaceDN w:val="0"/>
        <w:adjustRightInd w:val="0"/>
        <w:spacing w:line="600" w:lineRule="exact"/>
        <w:ind w:firstLine="600"/>
        <w:jc w:val="left"/>
        <w:rPr>
          <w:rFonts w:ascii="Times New Roman" w:hAnsi="Times New Roman" w:eastAsia="仿宋_GB2312" w:cs="仿宋_GB2312"/>
          <w:color w:val="auto"/>
          <w:kern w:val="0"/>
          <w:sz w:val="30"/>
          <w:szCs w:val="30"/>
        </w:rPr>
      </w:pPr>
      <w:r>
        <w:rPr>
          <w:rFonts w:hint="eastAsia" w:ascii="Times New Roman" w:hAnsi="Times New Roman" w:eastAsia="仿宋_GB2312" w:cs="仿宋_GB2312"/>
          <w:color w:val="auto"/>
          <w:kern w:val="0"/>
          <w:sz w:val="30"/>
          <w:szCs w:val="30"/>
        </w:rPr>
        <w:t>公务用车购置费预算</w:t>
      </w:r>
      <w:r>
        <w:rPr>
          <w:rFonts w:hint="eastAsia" w:ascii="Times New Roman" w:hAnsi="Times New Roman" w:eastAsia="仿宋_GB2312" w:cs="Times New Roman"/>
          <w:color w:val="auto"/>
          <w:kern w:val="0"/>
          <w:sz w:val="30"/>
          <w:szCs w:val="30"/>
        </w:rPr>
        <w:t>0.00</w:t>
      </w:r>
      <w:r>
        <w:rPr>
          <w:rFonts w:hint="eastAsia" w:ascii="Times New Roman" w:hAnsi="Times New Roman" w:eastAsia="仿宋_GB2312" w:cs="仿宋_GB2312"/>
          <w:color w:val="auto"/>
          <w:kern w:val="0"/>
          <w:sz w:val="30"/>
          <w:szCs w:val="30"/>
        </w:rPr>
        <w:t>元，支出决算</w:t>
      </w:r>
      <w:r>
        <w:rPr>
          <w:rFonts w:hint="eastAsia" w:ascii="Times New Roman" w:hAnsi="Times New Roman" w:eastAsia="仿宋_GB2312" w:cs="Times New Roman"/>
          <w:color w:val="auto"/>
          <w:kern w:val="0"/>
          <w:sz w:val="30"/>
          <w:szCs w:val="30"/>
        </w:rPr>
        <w:t>0.00</w:t>
      </w:r>
      <w:r>
        <w:rPr>
          <w:rFonts w:hint="eastAsia" w:ascii="Times New Roman" w:hAnsi="Times New Roman" w:eastAsia="仿宋_GB2312" w:cs="仿宋_GB2312"/>
          <w:color w:val="auto"/>
          <w:kern w:val="0"/>
          <w:sz w:val="30"/>
          <w:szCs w:val="30"/>
        </w:rPr>
        <w:t>元，与预算相比</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，较上年</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。决算数</w:t>
      </w:r>
      <w:r>
        <w:rPr>
          <w:rFonts w:hint="eastAsia" w:ascii="Times New Roman" w:hAnsi="Times New Roman" w:eastAsia="仿宋_GB2312" w:cs="仿宋_GB2312"/>
          <w:color w:val="auto"/>
          <w:sz w:val="30"/>
          <w:szCs w:val="30"/>
        </w:rPr>
        <w:t>等于</w:t>
      </w:r>
      <w:r>
        <w:rPr>
          <w:rFonts w:hint="eastAsia" w:ascii="Times New Roman" w:hAnsi="Times New Roman" w:eastAsia="仿宋_GB2312" w:cs="仿宋_GB2312"/>
          <w:color w:val="auto"/>
          <w:kern w:val="0"/>
          <w:sz w:val="30"/>
          <w:szCs w:val="30"/>
        </w:rPr>
        <w:t>预算数且决算数较上年</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的主要原因是：</w:t>
      </w:r>
      <w:r>
        <w:rPr>
          <w:rFonts w:hint="eastAsia" w:ascii="Times New Roman" w:hAnsi="Times New Roman" w:eastAsia="仿宋_GB2312" w:cs="仿宋_GB2312"/>
          <w:color w:val="auto"/>
          <w:sz w:val="30"/>
          <w:szCs w:val="30"/>
        </w:rPr>
        <w:t>本年度未用财政拨款经费列支公务用车购置费。</w:t>
      </w:r>
    </w:p>
    <w:p>
      <w:pPr>
        <w:autoSpaceDE w:val="0"/>
        <w:autoSpaceDN w:val="0"/>
        <w:adjustRightInd w:val="0"/>
        <w:spacing w:line="600" w:lineRule="exact"/>
        <w:ind w:firstLine="600"/>
        <w:jc w:val="left"/>
        <w:rPr>
          <w:rFonts w:ascii="Times New Roman" w:hAnsi="Times New Roman" w:eastAsia="仿宋_GB2312" w:cs="仿宋_GB2312"/>
          <w:color w:val="auto"/>
          <w:kern w:val="0"/>
          <w:sz w:val="30"/>
          <w:szCs w:val="30"/>
        </w:rPr>
      </w:pPr>
      <w:r>
        <w:rPr>
          <w:rFonts w:ascii="Times New Roman" w:hAnsi="Times New Roman" w:eastAsia="仿宋_GB2312" w:cs="仿宋_GB2312"/>
          <w:color w:val="auto"/>
          <w:kern w:val="0"/>
          <w:sz w:val="30"/>
          <w:szCs w:val="30"/>
        </w:rPr>
        <w:t>202</w:t>
      </w:r>
      <w:r>
        <w:rPr>
          <w:rFonts w:hint="eastAsia" w:ascii="Times New Roman" w:hAnsi="Times New Roman" w:eastAsia="仿宋_GB2312" w:cs="仿宋_GB2312"/>
          <w:color w:val="auto"/>
          <w:kern w:val="0"/>
          <w:sz w:val="30"/>
          <w:szCs w:val="30"/>
        </w:rPr>
        <w:t>3年购置公务用车</w:t>
      </w:r>
      <w:r>
        <w:rPr>
          <w:rFonts w:hint="eastAsia" w:ascii="Times New Roman" w:hAnsi="Times New Roman" w:eastAsia="仿宋_GB2312" w:cs="Times New Roman"/>
          <w:color w:val="auto"/>
          <w:kern w:val="0"/>
          <w:sz w:val="30"/>
          <w:szCs w:val="30"/>
        </w:rPr>
        <w:t>0</w:t>
      </w:r>
      <w:r>
        <w:rPr>
          <w:rFonts w:hint="eastAsia" w:ascii="Times New Roman" w:hAnsi="Times New Roman" w:eastAsia="仿宋_GB2312" w:cs="仿宋_GB2312"/>
          <w:color w:val="auto"/>
          <w:kern w:val="0"/>
          <w:sz w:val="30"/>
          <w:szCs w:val="30"/>
        </w:rPr>
        <w:t>辆。</w:t>
      </w:r>
    </w:p>
    <w:p>
      <w:pPr>
        <w:autoSpaceDE w:val="0"/>
        <w:autoSpaceDN w:val="0"/>
        <w:adjustRightInd w:val="0"/>
        <w:spacing w:line="600" w:lineRule="exact"/>
        <w:ind w:firstLine="645"/>
        <w:jc w:val="left"/>
        <w:rPr>
          <w:rFonts w:ascii="Times New Roman" w:hAnsi="Times New Roman" w:eastAsia="仿宋_GB2312" w:cs="仿宋_GB2312"/>
          <w:color w:val="auto"/>
          <w:kern w:val="0"/>
          <w:sz w:val="30"/>
          <w:szCs w:val="30"/>
        </w:rPr>
      </w:pPr>
      <w:r>
        <w:rPr>
          <w:rFonts w:ascii="Times New Roman" w:hAnsi="Times New Roman" w:eastAsia="仿宋_GB2312" w:cs="仿宋_GB2312"/>
          <w:color w:val="auto"/>
          <w:kern w:val="0"/>
          <w:sz w:val="30"/>
          <w:szCs w:val="30"/>
        </w:rPr>
        <w:t>3.</w:t>
      </w:r>
      <w:r>
        <w:rPr>
          <w:rFonts w:hint="eastAsia" w:ascii="Times New Roman" w:hAnsi="Times New Roman" w:eastAsia="仿宋_GB2312" w:cs="仿宋_GB2312"/>
          <w:color w:val="auto"/>
          <w:kern w:val="0"/>
          <w:sz w:val="30"/>
          <w:szCs w:val="30"/>
        </w:rPr>
        <w:t>公务接待费预算</w:t>
      </w:r>
      <w:r>
        <w:rPr>
          <w:rFonts w:hint="eastAsia" w:ascii="Times New Roman" w:hAnsi="Times New Roman" w:eastAsia="仿宋_GB2312" w:cs="Times New Roman"/>
          <w:color w:val="auto"/>
          <w:kern w:val="0"/>
          <w:sz w:val="30"/>
          <w:szCs w:val="30"/>
        </w:rPr>
        <w:t>0.00</w:t>
      </w:r>
      <w:r>
        <w:rPr>
          <w:rFonts w:hint="eastAsia" w:ascii="Times New Roman" w:hAnsi="Times New Roman" w:eastAsia="仿宋_GB2312" w:cs="仿宋_GB2312"/>
          <w:color w:val="auto"/>
          <w:kern w:val="0"/>
          <w:sz w:val="30"/>
          <w:szCs w:val="30"/>
        </w:rPr>
        <w:t>元，支出决算</w:t>
      </w:r>
      <w:r>
        <w:rPr>
          <w:rFonts w:hint="eastAsia" w:ascii="Times New Roman" w:hAnsi="Times New Roman" w:eastAsia="仿宋_GB2312" w:cs="Times New Roman"/>
          <w:color w:val="auto"/>
          <w:kern w:val="0"/>
          <w:sz w:val="30"/>
          <w:szCs w:val="30"/>
        </w:rPr>
        <w:t>0.00</w:t>
      </w:r>
      <w:r>
        <w:rPr>
          <w:rFonts w:hint="eastAsia" w:ascii="Times New Roman" w:hAnsi="Times New Roman" w:eastAsia="仿宋_GB2312" w:cs="仿宋_GB2312"/>
          <w:color w:val="auto"/>
          <w:kern w:val="0"/>
          <w:sz w:val="30"/>
          <w:szCs w:val="30"/>
        </w:rPr>
        <w:t>元，与预算相比</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，较上年</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。决算数</w:t>
      </w:r>
      <w:r>
        <w:rPr>
          <w:rFonts w:hint="eastAsia" w:ascii="Times New Roman" w:hAnsi="Times New Roman" w:eastAsia="仿宋_GB2312" w:cs="仿宋_GB2312"/>
          <w:color w:val="auto"/>
          <w:sz w:val="30"/>
          <w:szCs w:val="30"/>
        </w:rPr>
        <w:t>等于</w:t>
      </w:r>
      <w:r>
        <w:rPr>
          <w:rFonts w:hint="eastAsia" w:ascii="Times New Roman" w:hAnsi="Times New Roman" w:eastAsia="仿宋_GB2312" w:cs="仿宋_GB2312"/>
          <w:color w:val="auto"/>
          <w:kern w:val="0"/>
          <w:sz w:val="30"/>
          <w:szCs w:val="30"/>
        </w:rPr>
        <w:t>预算数且决算数较上年</w:t>
      </w:r>
      <w:r>
        <w:rPr>
          <w:rFonts w:hint="eastAsia" w:ascii="Times New Roman" w:hAnsi="Times New Roman" w:eastAsia="仿宋_GB2312" w:cs="仿宋_GB2312"/>
          <w:color w:val="auto"/>
          <w:sz w:val="30"/>
          <w:szCs w:val="30"/>
        </w:rPr>
        <w:t>持平</w:t>
      </w:r>
      <w:r>
        <w:rPr>
          <w:rFonts w:hint="eastAsia" w:ascii="Times New Roman" w:hAnsi="Times New Roman" w:eastAsia="仿宋_GB2312" w:cs="仿宋_GB2312"/>
          <w:color w:val="auto"/>
          <w:kern w:val="0"/>
          <w:sz w:val="30"/>
          <w:szCs w:val="30"/>
        </w:rPr>
        <w:t>的主要原因是：</w:t>
      </w:r>
      <w:r>
        <w:rPr>
          <w:rFonts w:hint="eastAsia" w:ascii="Times New Roman" w:hAnsi="Times New Roman" w:eastAsia="仿宋_GB2312" w:cs="仿宋_GB2312"/>
          <w:color w:val="auto"/>
          <w:sz w:val="30"/>
          <w:szCs w:val="30"/>
        </w:rPr>
        <w:t>本年度未用财政拨款经费列支公务接待费。</w:t>
      </w:r>
    </w:p>
    <w:p>
      <w:pPr>
        <w:autoSpaceDE w:val="0"/>
        <w:autoSpaceDN w:val="0"/>
        <w:adjustRightInd w:val="0"/>
        <w:spacing w:line="600" w:lineRule="exact"/>
        <w:ind w:firstLine="645"/>
        <w:jc w:val="left"/>
        <w:rPr>
          <w:rFonts w:ascii="Times New Roman" w:hAnsi="Times New Roman" w:eastAsia="仿宋_GB2312" w:cs="仿宋_GB2312"/>
          <w:color w:val="auto"/>
          <w:kern w:val="0"/>
          <w:sz w:val="30"/>
          <w:szCs w:val="30"/>
        </w:rPr>
      </w:pPr>
      <w:r>
        <w:rPr>
          <w:rFonts w:ascii="Times New Roman" w:hAnsi="Times New Roman" w:eastAsia="仿宋_GB2312" w:cs="仿宋_GB2312"/>
          <w:color w:val="auto"/>
          <w:kern w:val="0"/>
          <w:sz w:val="30"/>
          <w:szCs w:val="30"/>
        </w:rPr>
        <w:t>202</w:t>
      </w:r>
      <w:r>
        <w:rPr>
          <w:rFonts w:hint="eastAsia" w:ascii="Times New Roman" w:hAnsi="Times New Roman" w:eastAsia="仿宋_GB2312" w:cs="仿宋_GB2312"/>
          <w:color w:val="auto"/>
          <w:kern w:val="0"/>
          <w:sz w:val="30"/>
          <w:szCs w:val="30"/>
        </w:rPr>
        <w:t>3年本单位国内公务接待</w:t>
      </w:r>
      <w:r>
        <w:rPr>
          <w:rFonts w:hint="eastAsia" w:ascii="Times New Roman" w:hAnsi="Times New Roman" w:eastAsia="仿宋_GB2312" w:cs="Times New Roman"/>
          <w:color w:val="auto"/>
          <w:kern w:val="0"/>
          <w:sz w:val="30"/>
          <w:szCs w:val="30"/>
        </w:rPr>
        <w:t>0</w:t>
      </w:r>
      <w:r>
        <w:rPr>
          <w:rFonts w:hint="eastAsia" w:ascii="Times New Roman" w:hAnsi="Times New Roman" w:eastAsia="仿宋_GB2312" w:cs="仿宋_GB2312"/>
          <w:color w:val="auto"/>
          <w:kern w:val="0"/>
          <w:sz w:val="30"/>
          <w:szCs w:val="30"/>
        </w:rPr>
        <w:t>批次，</w:t>
      </w:r>
      <w:r>
        <w:rPr>
          <w:rFonts w:hint="eastAsia" w:ascii="Times New Roman" w:hAnsi="Times New Roman" w:eastAsia="仿宋_GB2312" w:cs="Times New Roman"/>
          <w:color w:val="auto"/>
          <w:kern w:val="0"/>
          <w:sz w:val="30"/>
          <w:szCs w:val="30"/>
        </w:rPr>
        <w:t>0</w:t>
      </w:r>
      <w:r>
        <w:rPr>
          <w:rFonts w:hint="eastAsia" w:ascii="Times New Roman" w:hAnsi="Times New Roman" w:eastAsia="仿宋_GB2312" w:cs="仿宋_GB2312"/>
          <w:color w:val="auto"/>
          <w:kern w:val="0"/>
          <w:sz w:val="30"/>
          <w:szCs w:val="30"/>
        </w:rPr>
        <w:t>人次；其中，外事接待</w:t>
      </w:r>
      <w:r>
        <w:rPr>
          <w:rFonts w:hint="eastAsia" w:ascii="Times New Roman" w:hAnsi="Times New Roman" w:eastAsia="仿宋_GB2312" w:cs="Times New Roman"/>
          <w:color w:val="auto"/>
          <w:kern w:val="0"/>
          <w:sz w:val="30"/>
          <w:szCs w:val="30"/>
        </w:rPr>
        <w:t>0</w:t>
      </w:r>
      <w:r>
        <w:rPr>
          <w:rFonts w:hint="eastAsia" w:ascii="Times New Roman" w:hAnsi="Times New Roman" w:eastAsia="仿宋_GB2312" w:cs="仿宋_GB2312"/>
          <w:color w:val="auto"/>
          <w:kern w:val="0"/>
          <w:sz w:val="30"/>
          <w:szCs w:val="30"/>
        </w:rPr>
        <w:t>批次，</w:t>
      </w:r>
      <w:r>
        <w:rPr>
          <w:rFonts w:hint="eastAsia" w:ascii="Times New Roman" w:hAnsi="Times New Roman" w:eastAsia="仿宋_GB2312" w:cs="Times New Roman"/>
          <w:color w:val="auto"/>
          <w:kern w:val="0"/>
          <w:sz w:val="30"/>
          <w:szCs w:val="30"/>
        </w:rPr>
        <w:t>0</w:t>
      </w:r>
      <w:r>
        <w:rPr>
          <w:rFonts w:hint="eastAsia" w:ascii="Times New Roman" w:hAnsi="Times New Roman" w:eastAsia="仿宋_GB2312" w:cs="仿宋_GB2312"/>
          <w:color w:val="auto"/>
          <w:kern w:val="0"/>
          <w:sz w:val="30"/>
          <w:szCs w:val="30"/>
        </w:rPr>
        <w:t>人次。</w:t>
      </w: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rPr>
      </w:pPr>
      <w:r>
        <w:rPr>
          <w:rFonts w:hint="eastAsia" w:ascii="Times New Roman" w:hAnsi="Times New Roman" w:eastAsia="黑体" w:cs="黑体"/>
          <w:b/>
          <w:bCs/>
          <w:color w:val="auto"/>
          <w:kern w:val="0"/>
          <w:sz w:val="30"/>
          <w:szCs w:val="30"/>
        </w:rPr>
        <w:t>十、机关运行经费支出情况说明</w:t>
      </w:r>
    </w:p>
    <w:p>
      <w:pPr>
        <w:autoSpaceDE w:val="0"/>
        <w:autoSpaceDN w:val="0"/>
        <w:adjustRightInd w:val="0"/>
        <w:spacing w:line="600" w:lineRule="exact"/>
        <w:ind w:firstLine="600"/>
        <w:jc w:val="left"/>
        <w:rPr>
          <w:rFonts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天津市南开区纪委监委综合服务中心2023年度无机关运行经费。</w:t>
      </w: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rPr>
      </w:pPr>
      <w:r>
        <w:rPr>
          <w:rFonts w:hint="eastAsia" w:ascii="Times New Roman" w:hAnsi="Times New Roman" w:eastAsia="黑体" w:cs="黑体"/>
          <w:b/>
          <w:bCs/>
          <w:color w:val="auto"/>
          <w:kern w:val="0"/>
          <w:sz w:val="30"/>
          <w:szCs w:val="30"/>
        </w:rPr>
        <w:t>十一、政府采购支出情况说明</w:t>
      </w:r>
    </w:p>
    <w:p>
      <w:pPr>
        <w:autoSpaceDE w:val="0"/>
        <w:autoSpaceDN w:val="0"/>
        <w:adjustRightInd w:val="0"/>
        <w:spacing w:line="600" w:lineRule="exact"/>
        <w:ind w:firstLine="600"/>
        <w:jc w:val="left"/>
        <w:rPr>
          <w:rFonts w:ascii="Times New Roman" w:hAnsi="Times New Roman" w:eastAsia="楷体" w:cs="Times New Roman"/>
          <w:color w:val="auto"/>
          <w:kern w:val="0"/>
          <w:sz w:val="30"/>
          <w:szCs w:val="30"/>
        </w:rPr>
      </w:pPr>
      <w:r>
        <w:rPr>
          <w:rFonts w:hint="eastAsia" w:ascii="Times New Roman" w:hAnsi="Times New Roman" w:eastAsia="仿宋_GB2312" w:cs="仿宋_GB2312"/>
          <w:color w:val="auto"/>
          <w:sz w:val="30"/>
          <w:szCs w:val="30"/>
        </w:rPr>
        <w:t>天津市南开区纪委监委综合服务中心2023年度无政府采购支出。</w:t>
      </w: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rPr>
      </w:pPr>
      <w:r>
        <w:rPr>
          <w:rFonts w:hint="eastAsia" w:ascii="Times New Roman" w:hAnsi="Times New Roman" w:eastAsia="黑体" w:cs="黑体"/>
          <w:b/>
          <w:bCs/>
          <w:color w:val="auto"/>
          <w:kern w:val="0"/>
          <w:sz w:val="30"/>
          <w:szCs w:val="30"/>
          <w:lang w:val="zh-CN"/>
        </w:rPr>
        <w:t>十二、</w:t>
      </w:r>
      <w:r>
        <w:rPr>
          <w:rFonts w:hint="eastAsia" w:ascii="Times New Roman" w:hAnsi="Times New Roman" w:eastAsia="黑体" w:cs="黑体"/>
          <w:b/>
          <w:bCs/>
          <w:color w:val="auto"/>
          <w:kern w:val="0"/>
          <w:sz w:val="30"/>
          <w:szCs w:val="30"/>
        </w:rPr>
        <w:t>国有资产占有使用情况说明</w:t>
      </w:r>
    </w:p>
    <w:p>
      <w:pPr>
        <w:autoSpaceDE w:val="0"/>
        <w:autoSpaceDN w:val="0"/>
        <w:adjustRightInd w:val="0"/>
        <w:spacing w:line="600" w:lineRule="exact"/>
        <w:ind w:firstLine="600"/>
        <w:jc w:val="left"/>
        <w:rPr>
          <w:rFonts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天津市南开区纪委监委综合服务中心2023年度无国有资产占用使用情况。</w:t>
      </w:r>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rPr>
      </w:pPr>
      <w:r>
        <w:rPr>
          <w:rFonts w:hint="eastAsia" w:ascii="Times New Roman" w:hAnsi="Times New Roman" w:eastAsia="黑体" w:cs="黑体"/>
          <w:b/>
          <w:bCs/>
          <w:color w:val="auto"/>
          <w:kern w:val="0"/>
          <w:sz w:val="30"/>
          <w:szCs w:val="30"/>
          <w:lang w:val="zh-CN"/>
        </w:rPr>
        <w:t>十三、</w:t>
      </w:r>
      <w:r>
        <w:rPr>
          <w:rFonts w:hint="eastAsia" w:ascii="Times New Roman" w:hAnsi="Times New Roman" w:eastAsia="黑体" w:cs="黑体"/>
          <w:b/>
          <w:bCs/>
          <w:color w:val="auto"/>
          <w:kern w:val="0"/>
          <w:sz w:val="30"/>
          <w:szCs w:val="30"/>
        </w:rPr>
        <w:t>预算绩效情况说明</w:t>
      </w:r>
    </w:p>
    <w:p>
      <w:pPr>
        <w:autoSpaceDE w:val="0"/>
        <w:autoSpaceDN w:val="0"/>
        <w:adjustRightInd w:val="0"/>
        <w:spacing w:line="600" w:lineRule="exact"/>
        <w:ind w:firstLine="600"/>
        <w:jc w:val="left"/>
        <w:rPr>
          <w:rFonts w:ascii="Times New Roman" w:hAnsi="Times New Roman" w:eastAsia="仿宋_GB2312" w:cs="仿宋_GB2312"/>
          <w:color w:val="auto"/>
          <w:kern w:val="0"/>
          <w:sz w:val="30"/>
          <w:szCs w:val="30"/>
        </w:rPr>
      </w:pPr>
      <w:r>
        <w:rPr>
          <w:rFonts w:hint="eastAsia" w:ascii="Times New Roman" w:hAnsi="Times New Roman" w:eastAsia="仿宋_GB2312" w:cs="仿宋_GB2312"/>
          <w:color w:val="auto"/>
          <w:sz w:val="30"/>
          <w:szCs w:val="30"/>
        </w:rPr>
        <w:t>本部门2023年度没有项目支出，无需开展绩效自评。</w:t>
      </w:r>
      <w:bookmarkStart w:id="0" w:name="_GoBack"/>
      <w:bookmarkEnd w:id="0"/>
    </w:p>
    <w:p>
      <w:pPr>
        <w:keepNext/>
        <w:keepLines/>
        <w:autoSpaceDE w:val="0"/>
        <w:autoSpaceDN w:val="0"/>
        <w:adjustRightInd w:val="0"/>
        <w:spacing w:line="600" w:lineRule="exact"/>
        <w:ind w:firstLine="602"/>
        <w:jc w:val="left"/>
        <w:outlineLvl w:val="1"/>
        <w:rPr>
          <w:rFonts w:ascii="Times New Roman" w:hAnsi="Times New Roman" w:eastAsia="黑体" w:cs="黑体"/>
          <w:b/>
          <w:bCs/>
          <w:color w:val="auto"/>
          <w:kern w:val="0"/>
          <w:sz w:val="30"/>
          <w:szCs w:val="30"/>
        </w:rPr>
      </w:pPr>
      <w:r>
        <w:rPr>
          <w:rFonts w:hint="eastAsia" w:ascii="Times New Roman" w:hAnsi="Times New Roman" w:eastAsia="黑体" w:cs="黑体"/>
          <w:b/>
          <w:bCs/>
          <w:color w:val="auto"/>
          <w:kern w:val="0"/>
          <w:sz w:val="30"/>
          <w:szCs w:val="30"/>
          <w:lang w:val="zh-CN"/>
        </w:rPr>
        <w:t>十四、</w:t>
      </w:r>
      <w:r>
        <w:rPr>
          <w:rFonts w:hint="eastAsia" w:ascii="Times New Roman" w:hAnsi="Times New Roman" w:eastAsia="黑体" w:cs="黑体"/>
          <w:b/>
          <w:bCs/>
          <w:color w:val="auto"/>
          <w:kern w:val="0"/>
          <w:sz w:val="30"/>
          <w:szCs w:val="30"/>
        </w:rPr>
        <w:t>教育、医疗卫生、社会保障和就业、住房保障、涉农补贴等民生支出情况说明</w:t>
      </w:r>
    </w:p>
    <w:p>
      <w:pPr>
        <w:autoSpaceDE w:val="0"/>
        <w:autoSpaceDN w:val="0"/>
        <w:adjustRightInd w:val="0"/>
        <w:spacing w:line="600" w:lineRule="exact"/>
        <w:ind w:firstLine="600"/>
        <w:jc w:val="left"/>
        <w:rPr>
          <w:rFonts w:ascii="Times New Roman" w:hAnsi="Times New Roman" w:eastAsia="仿宋_GB2312" w:cs="仿宋_GB2312"/>
          <w:color w:val="auto"/>
          <w:kern w:val="0"/>
          <w:sz w:val="30"/>
          <w:szCs w:val="30"/>
        </w:rPr>
      </w:pPr>
      <w:r>
        <w:rPr>
          <w:rFonts w:hint="eastAsia" w:ascii="Times New Roman" w:hAnsi="Times New Roman" w:eastAsia="仿宋_GB2312" w:cs="仿宋_GB2312"/>
          <w:color w:val="auto"/>
          <w:sz w:val="30"/>
          <w:szCs w:val="30"/>
        </w:rPr>
        <w:t>天津市南开区纪委监委综合服务中心不属于乡、镇、街级单位，不涉及公开2023年度教育、医疗卫生、社会保障和就业、住房保障、涉农补贴等民生支出情况。</w:t>
      </w:r>
    </w:p>
    <w:p>
      <w:pPr>
        <w:autoSpaceDE w:val="0"/>
        <w:autoSpaceDN w:val="0"/>
        <w:adjustRightInd w:val="0"/>
        <w:jc w:val="left"/>
        <w:rPr>
          <w:rFonts w:ascii="Times New Roman" w:hAnsi="Times New Roman" w:eastAsia="仿宋_GB2312" w:cs="仿宋_GB2312"/>
          <w:b/>
          <w:bCs/>
          <w:color w:val="auto"/>
          <w:kern w:val="0"/>
          <w:sz w:val="30"/>
          <w:szCs w:val="30"/>
        </w:rPr>
      </w:pPr>
      <w:r>
        <w:rPr>
          <w:rFonts w:ascii="Times New Roman" w:hAnsi="Times New Roman" w:eastAsia="仿宋_GB2312" w:cs="仿宋_GB2312"/>
          <w:b/>
          <w:bCs/>
          <w:color w:val="auto"/>
          <w:kern w:val="0"/>
          <w:sz w:val="30"/>
          <w:szCs w:val="30"/>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color w:val="auto"/>
          <w:kern w:val="44"/>
          <w:sz w:val="44"/>
          <w:szCs w:val="44"/>
        </w:rPr>
      </w:pPr>
      <w:r>
        <w:rPr>
          <w:rFonts w:hint="eastAsia" w:ascii="Times New Roman" w:hAnsi="Times New Roman" w:eastAsia="方正小标宋简体" w:cs="方正小标宋简体"/>
          <w:color w:val="auto"/>
          <w:kern w:val="44"/>
          <w:sz w:val="44"/>
          <w:szCs w:val="44"/>
        </w:rPr>
        <w:t>第四部分名词解释</w:t>
      </w:r>
    </w:p>
    <w:p>
      <w:pPr>
        <w:autoSpaceDE w:val="0"/>
        <w:autoSpaceDN w:val="0"/>
        <w:adjustRightInd w:val="0"/>
        <w:spacing w:line="600" w:lineRule="exact"/>
        <w:ind w:firstLine="600"/>
        <w:jc w:val="left"/>
        <w:rPr>
          <w:rFonts w:ascii="Times New Roman" w:hAnsi="Times New Roman" w:eastAsia="仿宋_GB2312" w:cs="仿宋_GB2312"/>
          <w:color w:val="auto"/>
          <w:kern w:val="0"/>
          <w:sz w:val="30"/>
          <w:szCs w:val="30"/>
        </w:rPr>
      </w:pPr>
    </w:p>
    <w:p>
      <w:pPr>
        <w:autoSpaceDE w:val="0"/>
        <w:autoSpaceDN w:val="0"/>
        <w:adjustRightInd w:val="0"/>
        <w:spacing w:line="600" w:lineRule="exact"/>
        <w:ind w:firstLine="600"/>
        <w:jc w:val="left"/>
        <w:rPr>
          <w:rFonts w:ascii="Times New Roman" w:hAnsi="Times New Roman" w:eastAsia="仿宋_GB2312" w:cs="仿宋_GB2312"/>
          <w:color w:val="auto"/>
          <w:kern w:val="0"/>
          <w:sz w:val="30"/>
          <w:szCs w:val="30"/>
        </w:rPr>
      </w:pPr>
      <w:r>
        <w:rPr>
          <w:rFonts w:hint="eastAsia" w:ascii="Times New Roman" w:hAnsi="Times New Roman" w:eastAsia="仿宋_GB2312" w:cs="仿宋_GB2312"/>
          <w:color w:val="auto"/>
          <w:kern w:val="0"/>
          <w:sz w:val="30"/>
          <w:szCs w:val="30"/>
        </w:rPr>
        <w:t>1</w:t>
      </w:r>
      <w:r>
        <w:rPr>
          <w:rFonts w:ascii="Times New Roman" w:hAnsi="Times New Roman" w:eastAsia="仿宋_GB2312" w:cs="仿宋_GB2312"/>
          <w:color w:val="auto"/>
          <w:kern w:val="0"/>
          <w:sz w:val="30"/>
          <w:szCs w:val="30"/>
        </w:rPr>
        <w:t>.</w:t>
      </w:r>
      <w:r>
        <w:rPr>
          <w:rFonts w:hint="eastAsia" w:ascii="Times New Roman" w:hAnsi="Times New Roman" w:eastAsia="仿宋_GB2312" w:cs="仿宋_GB2312"/>
          <w:color w:val="auto"/>
          <w:kern w:val="0"/>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autoSpaceDE w:val="0"/>
        <w:autoSpaceDN w:val="0"/>
        <w:adjustRightInd w:val="0"/>
        <w:spacing w:line="600" w:lineRule="exact"/>
        <w:ind w:firstLine="600"/>
        <w:jc w:val="left"/>
        <w:rPr>
          <w:rFonts w:ascii="Times New Roman" w:hAnsi="Times New Roman" w:eastAsia="仿宋_GB2312" w:cs="仿宋_GB2312"/>
          <w:color w:val="auto"/>
          <w:kern w:val="0"/>
          <w:sz w:val="30"/>
          <w:szCs w:val="30"/>
        </w:rPr>
      </w:pPr>
      <w:r>
        <w:rPr>
          <w:rFonts w:ascii="Times New Roman" w:hAnsi="Times New Roman" w:eastAsia="仿宋_GB2312" w:cs="仿宋_GB2312"/>
          <w:color w:val="auto"/>
          <w:kern w:val="0"/>
          <w:sz w:val="30"/>
          <w:szCs w:val="30"/>
        </w:rPr>
        <w:t>2.</w:t>
      </w:r>
      <w:r>
        <w:rPr>
          <w:rFonts w:hint="eastAsia" w:ascii="Times New Roman" w:hAnsi="Times New Roman" w:eastAsia="仿宋_GB2312" w:cs="仿宋_GB2312"/>
          <w:color w:val="auto"/>
          <w:kern w:val="0"/>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autoSpaceDE w:val="0"/>
        <w:autoSpaceDN w:val="0"/>
        <w:adjustRightInd w:val="0"/>
        <w:spacing w:line="600" w:lineRule="exact"/>
        <w:ind w:firstLine="600"/>
        <w:jc w:val="left"/>
        <w:rPr>
          <w:rFonts w:ascii="Times New Roman" w:hAnsi="Times New Roman"/>
          <w:color w:val="auto"/>
        </w:rPr>
      </w:pPr>
      <w:r>
        <w:rPr>
          <w:rFonts w:ascii="Times New Roman" w:hAnsi="Times New Roman" w:eastAsia="仿宋_GB2312" w:cs="仿宋_GB2312"/>
          <w:color w:val="auto"/>
          <w:kern w:val="0"/>
          <w:sz w:val="30"/>
          <w:szCs w:val="30"/>
        </w:rPr>
        <w:t>3.“</w:t>
      </w:r>
      <w:r>
        <w:rPr>
          <w:rFonts w:hint="eastAsia" w:ascii="Times New Roman" w:hAnsi="Times New Roman" w:eastAsia="仿宋_GB2312" w:cs="仿宋_GB2312"/>
          <w:color w:val="auto"/>
          <w:kern w:val="0"/>
          <w:sz w:val="30"/>
          <w:szCs w:val="30"/>
        </w:rPr>
        <w:t>三公</w:t>
      </w:r>
      <w:r>
        <w:rPr>
          <w:rFonts w:ascii="Times New Roman" w:hAnsi="Times New Roman" w:eastAsia="仿宋_GB2312" w:cs="仿宋_GB2312"/>
          <w:color w:val="auto"/>
          <w:kern w:val="0"/>
          <w:sz w:val="30"/>
          <w:szCs w:val="30"/>
        </w:rPr>
        <w:t>”</w:t>
      </w:r>
      <w:r>
        <w:rPr>
          <w:rFonts w:hint="eastAsia" w:ascii="Times New Roman" w:hAnsi="Times New Roman" w:eastAsia="仿宋_GB2312" w:cs="仿宋_GB2312"/>
          <w:color w:val="auto"/>
          <w:kern w:val="0"/>
          <w:sz w:val="30"/>
          <w:szCs w:val="30"/>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lmZjRjOTViNzdiN2YwYTA4MTJlMWY4N2I2NWNjZjUifQ=="/>
  </w:docVars>
  <w:rsids>
    <w:rsidRoot w:val="006A094D"/>
    <w:rsid w:val="00013A12"/>
    <w:rsid w:val="0002687D"/>
    <w:rsid w:val="00047C6F"/>
    <w:rsid w:val="000528EE"/>
    <w:rsid w:val="000719FD"/>
    <w:rsid w:val="000B5C71"/>
    <w:rsid w:val="000D4B98"/>
    <w:rsid w:val="00127EFA"/>
    <w:rsid w:val="00142888"/>
    <w:rsid w:val="00152EEB"/>
    <w:rsid w:val="00153077"/>
    <w:rsid w:val="00167CB7"/>
    <w:rsid w:val="001A0E4F"/>
    <w:rsid w:val="001B5C3C"/>
    <w:rsid w:val="001C0399"/>
    <w:rsid w:val="001D587E"/>
    <w:rsid w:val="002124F6"/>
    <w:rsid w:val="00264B59"/>
    <w:rsid w:val="002A4997"/>
    <w:rsid w:val="002E6086"/>
    <w:rsid w:val="00302490"/>
    <w:rsid w:val="003227B2"/>
    <w:rsid w:val="003536BE"/>
    <w:rsid w:val="003B25FB"/>
    <w:rsid w:val="004A482F"/>
    <w:rsid w:val="004F39BF"/>
    <w:rsid w:val="005062D7"/>
    <w:rsid w:val="005175E6"/>
    <w:rsid w:val="00525157"/>
    <w:rsid w:val="005349A2"/>
    <w:rsid w:val="00572B6C"/>
    <w:rsid w:val="00575537"/>
    <w:rsid w:val="005D1367"/>
    <w:rsid w:val="005D3F56"/>
    <w:rsid w:val="00654D17"/>
    <w:rsid w:val="006623EC"/>
    <w:rsid w:val="006A094D"/>
    <w:rsid w:val="006D2409"/>
    <w:rsid w:val="006E65DB"/>
    <w:rsid w:val="00703860"/>
    <w:rsid w:val="00776FF3"/>
    <w:rsid w:val="0078156E"/>
    <w:rsid w:val="00786E74"/>
    <w:rsid w:val="007D1285"/>
    <w:rsid w:val="007E49E1"/>
    <w:rsid w:val="007F6DA7"/>
    <w:rsid w:val="008174D5"/>
    <w:rsid w:val="00885126"/>
    <w:rsid w:val="0089698B"/>
    <w:rsid w:val="008D48A9"/>
    <w:rsid w:val="00941A30"/>
    <w:rsid w:val="00977DCC"/>
    <w:rsid w:val="009820CF"/>
    <w:rsid w:val="00982A8B"/>
    <w:rsid w:val="009A7ED3"/>
    <w:rsid w:val="009D74D7"/>
    <w:rsid w:val="00A57AE7"/>
    <w:rsid w:val="00AF71AE"/>
    <w:rsid w:val="00B33C70"/>
    <w:rsid w:val="00B75228"/>
    <w:rsid w:val="00B811F1"/>
    <w:rsid w:val="00B81B9F"/>
    <w:rsid w:val="00BC763A"/>
    <w:rsid w:val="00BC7D6F"/>
    <w:rsid w:val="00BD3CAC"/>
    <w:rsid w:val="00BF697A"/>
    <w:rsid w:val="00C46C32"/>
    <w:rsid w:val="00C52E77"/>
    <w:rsid w:val="00C65A44"/>
    <w:rsid w:val="00C76AC3"/>
    <w:rsid w:val="00C83EB4"/>
    <w:rsid w:val="00D4505A"/>
    <w:rsid w:val="00D65B41"/>
    <w:rsid w:val="00DC3234"/>
    <w:rsid w:val="00DC3CD0"/>
    <w:rsid w:val="00DD60B5"/>
    <w:rsid w:val="00E55DF8"/>
    <w:rsid w:val="00E7602B"/>
    <w:rsid w:val="00E964B2"/>
    <w:rsid w:val="00EA6549"/>
    <w:rsid w:val="00F007FE"/>
    <w:rsid w:val="00F21FD8"/>
    <w:rsid w:val="017D4A3B"/>
    <w:rsid w:val="01A10E80"/>
    <w:rsid w:val="029D518A"/>
    <w:rsid w:val="03311B3F"/>
    <w:rsid w:val="03901927"/>
    <w:rsid w:val="05CA273A"/>
    <w:rsid w:val="05E55C53"/>
    <w:rsid w:val="069A035E"/>
    <w:rsid w:val="07267E44"/>
    <w:rsid w:val="07425D24"/>
    <w:rsid w:val="07A23238"/>
    <w:rsid w:val="084F33CB"/>
    <w:rsid w:val="085D1644"/>
    <w:rsid w:val="0A7D5D1A"/>
    <w:rsid w:val="0AF018E5"/>
    <w:rsid w:val="0B1428B6"/>
    <w:rsid w:val="0B2716A6"/>
    <w:rsid w:val="0B2E72C7"/>
    <w:rsid w:val="0C411F0C"/>
    <w:rsid w:val="0CDD71F7"/>
    <w:rsid w:val="0D664210"/>
    <w:rsid w:val="0DA7267B"/>
    <w:rsid w:val="0DFB4FC0"/>
    <w:rsid w:val="0E267459"/>
    <w:rsid w:val="0EBB5316"/>
    <w:rsid w:val="0F4936D8"/>
    <w:rsid w:val="0FC42B69"/>
    <w:rsid w:val="0FF22FB9"/>
    <w:rsid w:val="118916FB"/>
    <w:rsid w:val="1221675E"/>
    <w:rsid w:val="12C34799"/>
    <w:rsid w:val="12D93FBD"/>
    <w:rsid w:val="13463246"/>
    <w:rsid w:val="142D4C1F"/>
    <w:rsid w:val="15F1161D"/>
    <w:rsid w:val="161D1413"/>
    <w:rsid w:val="1666200B"/>
    <w:rsid w:val="16C5644A"/>
    <w:rsid w:val="16D76A65"/>
    <w:rsid w:val="17C84C4C"/>
    <w:rsid w:val="1949378C"/>
    <w:rsid w:val="199A3054"/>
    <w:rsid w:val="1A1104E0"/>
    <w:rsid w:val="1A404E9F"/>
    <w:rsid w:val="1AA54268"/>
    <w:rsid w:val="1B173F14"/>
    <w:rsid w:val="1B4641B9"/>
    <w:rsid w:val="1B520DB0"/>
    <w:rsid w:val="1B5D5A1E"/>
    <w:rsid w:val="1B7A68EC"/>
    <w:rsid w:val="1CCA277E"/>
    <w:rsid w:val="1DFB572F"/>
    <w:rsid w:val="1EC5396A"/>
    <w:rsid w:val="1EFB0588"/>
    <w:rsid w:val="20DB5BFD"/>
    <w:rsid w:val="21365D81"/>
    <w:rsid w:val="21556D90"/>
    <w:rsid w:val="21C24E94"/>
    <w:rsid w:val="21D73FEC"/>
    <w:rsid w:val="23736675"/>
    <w:rsid w:val="24B227A0"/>
    <w:rsid w:val="25BA7C7E"/>
    <w:rsid w:val="2666570F"/>
    <w:rsid w:val="26DB4B05"/>
    <w:rsid w:val="271B299E"/>
    <w:rsid w:val="27DD7C53"/>
    <w:rsid w:val="284E3F62"/>
    <w:rsid w:val="28612632"/>
    <w:rsid w:val="29A529F3"/>
    <w:rsid w:val="29D137E8"/>
    <w:rsid w:val="2A924D25"/>
    <w:rsid w:val="2BC20F83"/>
    <w:rsid w:val="2C800474"/>
    <w:rsid w:val="2C8F0671"/>
    <w:rsid w:val="2D5A0475"/>
    <w:rsid w:val="2DA05507"/>
    <w:rsid w:val="2DD613CD"/>
    <w:rsid w:val="2E487134"/>
    <w:rsid w:val="2E8C3709"/>
    <w:rsid w:val="2F146650"/>
    <w:rsid w:val="2FA13000"/>
    <w:rsid w:val="2FC74096"/>
    <w:rsid w:val="2FF951BC"/>
    <w:rsid w:val="307A24E3"/>
    <w:rsid w:val="307A6987"/>
    <w:rsid w:val="30837A14"/>
    <w:rsid w:val="30BB5227"/>
    <w:rsid w:val="313F372D"/>
    <w:rsid w:val="32146967"/>
    <w:rsid w:val="32443D30"/>
    <w:rsid w:val="324A2E0F"/>
    <w:rsid w:val="32672F3B"/>
    <w:rsid w:val="33032C66"/>
    <w:rsid w:val="332D3FC0"/>
    <w:rsid w:val="34DA1006"/>
    <w:rsid w:val="354D7E20"/>
    <w:rsid w:val="35747E49"/>
    <w:rsid w:val="35823AFA"/>
    <w:rsid w:val="358C1096"/>
    <w:rsid w:val="35B6328D"/>
    <w:rsid w:val="35F44AE6"/>
    <w:rsid w:val="36144696"/>
    <w:rsid w:val="36580FD3"/>
    <w:rsid w:val="381E22EE"/>
    <w:rsid w:val="3AF76503"/>
    <w:rsid w:val="3B0209DD"/>
    <w:rsid w:val="3B0C198B"/>
    <w:rsid w:val="3B483C6E"/>
    <w:rsid w:val="3B776F10"/>
    <w:rsid w:val="3B7C7A57"/>
    <w:rsid w:val="3B8E1539"/>
    <w:rsid w:val="3D600CB3"/>
    <w:rsid w:val="3E426F14"/>
    <w:rsid w:val="3EB42189"/>
    <w:rsid w:val="3EC62D97"/>
    <w:rsid w:val="3EEF0B4C"/>
    <w:rsid w:val="3EF16375"/>
    <w:rsid w:val="3F2006FA"/>
    <w:rsid w:val="40CF0629"/>
    <w:rsid w:val="4137238C"/>
    <w:rsid w:val="41CC0838"/>
    <w:rsid w:val="43612B5A"/>
    <w:rsid w:val="43805C0B"/>
    <w:rsid w:val="43B835F7"/>
    <w:rsid w:val="44552CED"/>
    <w:rsid w:val="44EB17AA"/>
    <w:rsid w:val="45984C48"/>
    <w:rsid w:val="47727F60"/>
    <w:rsid w:val="485D29BF"/>
    <w:rsid w:val="49374433"/>
    <w:rsid w:val="49DA103E"/>
    <w:rsid w:val="4A2319E6"/>
    <w:rsid w:val="4A8E57CD"/>
    <w:rsid w:val="4B3D495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F16968"/>
    <w:rsid w:val="55AC416B"/>
    <w:rsid w:val="564C0516"/>
    <w:rsid w:val="5713248B"/>
    <w:rsid w:val="57833AC4"/>
    <w:rsid w:val="578735B4"/>
    <w:rsid w:val="58C3061C"/>
    <w:rsid w:val="58E93DFA"/>
    <w:rsid w:val="599E4BE5"/>
    <w:rsid w:val="5A1C0F73"/>
    <w:rsid w:val="5A964C59"/>
    <w:rsid w:val="5C170425"/>
    <w:rsid w:val="5CD612EB"/>
    <w:rsid w:val="5D032E6E"/>
    <w:rsid w:val="5DC66F7C"/>
    <w:rsid w:val="5DFB2606"/>
    <w:rsid w:val="5E015742"/>
    <w:rsid w:val="5EB1144C"/>
    <w:rsid w:val="5EF37781"/>
    <w:rsid w:val="5F6D7131"/>
    <w:rsid w:val="5F7856C5"/>
    <w:rsid w:val="5FF67529"/>
    <w:rsid w:val="615900E7"/>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7AF209E"/>
    <w:rsid w:val="68200AB4"/>
    <w:rsid w:val="68C169D0"/>
    <w:rsid w:val="6B4F5D3F"/>
    <w:rsid w:val="6B963EB9"/>
    <w:rsid w:val="6BBB51FE"/>
    <w:rsid w:val="6BF54B38"/>
    <w:rsid w:val="6C054650"/>
    <w:rsid w:val="6C1D5E3D"/>
    <w:rsid w:val="6CF70A69"/>
    <w:rsid w:val="6CFE17CB"/>
    <w:rsid w:val="6D5E0469"/>
    <w:rsid w:val="6D854C1A"/>
    <w:rsid w:val="6E080CF4"/>
    <w:rsid w:val="6E081607"/>
    <w:rsid w:val="6EB34837"/>
    <w:rsid w:val="70180DF5"/>
    <w:rsid w:val="704716DB"/>
    <w:rsid w:val="708C6A78"/>
    <w:rsid w:val="70E84C6C"/>
    <w:rsid w:val="70FE35D3"/>
    <w:rsid w:val="71600CA6"/>
    <w:rsid w:val="7260119C"/>
    <w:rsid w:val="72701CEB"/>
    <w:rsid w:val="72B3615B"/>
    <w:rsid w:val="73724CC1"/>
    <w:rsid w:val="7455465F"/>
    <w:rsid w:val="75AB44BA"/>
    <w:rsid w:val="79B7155B"/>
    <w:rsid w:val="79DC07A5"/>
    <w:rsid w:val="7ACA53E2"/>
    <w:rsid w:val="7B143565"/>
    <w:rsid w:val="7E2E7A36"/>
    <w:rsid w:val="7E703A39"/>
    <w:rsid w:val="7ED72E9F"/>
    <w:rsid w:val="7F3217A8"/>
    <w:rsid w:val="7FDD79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9"/>
    <w:pPr>
      <w:autoSpaceDE w:val="0"/>
      <w:autoSpaceDN w:val="0"/>
      <w:adjustRightInd w:val="0"/>
      <w:jc w:val="left"/>
      <w:outlineLvl w:val="0"/>
    </w:pPr>
    <w:rPr>
      <w:rFonts w:ascii="方正小标宋简体" w:eastAsia="方正小标宋简体"/>
      <w:kern w:val="0"/>
      <w:sz w:val="24"/>
      <w:szCs w:val="24"/>
    </w:rPr>
  </w:style>
  <w:style w:type="paragraph" w:styleId="3">
    <w:name w:val="heading 2"/>
    <w:basedOn w:val="1"/>
    <w:next w:val="1"/>
    <w:link w:val="10"/>
    <w:qFormat/>
    <w:uiPriority w:val="99"/>
    <w:pPr>
      <w:autoSpaceDE w:val="0"/>
      <w:autoSpaceDN w:val="0"/>
      <w:adjustRightInd w:val="0"/>
      <w:jc w:val="left"/>
      <w:outlineLvl w:val="1"/>
    </w:pPr>
    <w:rPr>
      <w:rFonts w:ascii="方正小标宋简体" w:eastAsia="方正小标宋简体"/>
      <w:kern w:val="0"/>
      <w:sz w:val="24"/>
      <w:szCs w:val="2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tabs>
        <w:tab w:val="center" w:pos="4153"/>
        <w:tab w:val="right" w:pos="8306"/>
      </w:tabs>
      <w:snapToGrid w:val="0"/>
      <w:jc w:val="center"/>
    </w:pPr>
    <w:rPr>
      <w:sz w:val="18"/>
      <w:szCs w:val="18"/>
    </w:rPr>
  </w:style>
  <w:style w:type="character" w:customStyle="1" w:styleId="9">
    <w:name w:val="标题 1 Char"/>
    <w:basedOn w:val="8"/>
    <w:link w:val="2"/>
    <w:qFormat/>
    <w:uiPriority w:val="99"/>
    <w:rPr>
      <w:rFonts w:ascii="方正小标宋简体" w:eastAsia="方正小标宋简体"/>
      <w:kern w:val="0"/>
      <w:sz w:val="24"/>
      <w:szCs w:val="24"/>
    </w:rPr>
  </w:style>
  <w:style w:type="character" w:customStyle="1" w:styleId="10">
    <w:name w:val="标题 2 Char"/>
    <w:basedOn w:val="8"/>
    <w:link w:val="3"/>
    <w:qFormat/>
    <w:uiPriority w:val="99"/>
    <w:rPr>
      <w:rFonts w:ascii="方正小标宋简体" w:eastAsia="方正小标宋简体"/>
      <w:kern w:val="0"/>
      <w:sz w:val="24"/>
      <w:szCs w:val="24"/>
    </w:rPr>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728</Words>
  <Characters>4153</Characters>
  <Lines>34</Lines>
  <Paragraphs>9</Paragraphs>
  <TotalTime>31</TotalTime>
  <ScaleCrop>false</ScaleCrop>
  <LinksUpToDate>false</LinksUpToDate>
  <CharactersWithSpaces>4872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2023-08-11T08:11:00Z</dcterms:created>
  <dc:creator>office</dc:creator>
  <cp:lastModifiedBy>Administrator</cp:lastModifiedBy>
  <dcterms:modified xsi:type="dcterms:W3CDTF">2024-10-10T03:37:34Z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A44E0A178634409BBBA50D5636087390_13</vt:lpwstr>
  </property>
</Properties>
</file>