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天津市和平区纪检监察综合保障中心</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全区纪检监察系统信息化建设和相关技术保障，保密设备的运营、维护、管理；负责电子取证、同步录音录像、司法比对等技术保障；负责廉政教育基地管理、维护，承担对全区党员干部警示教育讲解等工作；协助做好谈话对象、留置对象的安全保障及监督检查、审查调查等辅助性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天津市和平区纪检监察综合保障中心内设1个职能科室；无下辖预算单位。纳入天津市和平区纪检监察综合保障中心2023年度部门决算编制范围的单位包括：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1.天津市和平区纪检监察综合保障中心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1.天津市和平区纪检监察综合保障中心2023年度政府性基金预算财政拨款收入支出决算表为空表。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2.天津市和平区纪检监察综合保障中心2023年度国有资本经营预算财政拨款收入支出决算表为空表。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3.天津市和平区纪检监察综合保障中心2023年度财政拨款“三公”经费支出决算表为空表。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天津市和平区纪检监察综合保障中心2023年度收入、支出决算总计</w:t>
      </w:r>
      <w:r>
        <w:rPr>
          <w:rFonts w:hint="eastAsia" w:ascii="Times New Roman" w:hAnsi="Times New Roman" w:eastAsia="仿宋_GB2312" w:cs="仿宋_GB2312"/>
          <w:sz w:val="30"/>
          <w:szCs w:val="30"/>
          <w:highlight w:val="none"/>
          <w:lang w:eastAsia="zh-CN"/>
        </w:rPr>
        <w:t>1,328,476.28元，与2022年度相比，收、支总计各增加21,253.66元，增长1.63%，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：新招录一人。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天津市和平区纪检监察综合保障中心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1,320,835.17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增加21,248.26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新招录一人。</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1,320,835.17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天津市和平区纪检监察综合保障中心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1,320,840.57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21,259.06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新招录一人。</w:t>
      </w:r>
    </w:p>
    <w:p>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1,104,840.57元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83.65</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216,000.00元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占16.35%；</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天津市和平区纪检监察综合保障中心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1,328,476.28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21,253.66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新招录一人。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天津市和平区纪检监察综合保障中心2023年度部门决算一般公共预算财政拨款支出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计1,320,840.57元，占本年支出合计的100.0%，与2022年度相比，一般公共预算财政拨款支出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21,259.06元，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1.64%，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：新招录一人。</w:t>
      </w:r>
    </w:p>
    <w:p>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1,320,840.57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一般公共服务（类）支出1156573.71元，占87.56%，社会保障和就业（类）支出115613.28元，占8.75%，卫生健康（类）支出48653.58元，占3.69%。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1,269,470.36</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1,320,840.57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104.05%</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一般公共服务支出（类）纪检监察事务（款）事业运行（项）年初预算为1,079,500.00元，支出决算为1,157,526.39元，完成年初预算的107.23%，决算数大于年初预算数的主要原因是薪级工资滚动。</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69,500.00元，支出决算为69,525.12元，完成年初预算的100.04%，决算数大于年初预算数的主要原因是保险基数调整。</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34,800.00元，支出决算为31,500.00元，完成年初预算的90.52%，决算数小于年初预算数的主要原因是保险基数调整。</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卫生健康支出（类）行政事业单位医疗（款）事业单位医疗（项）年初预算为28,200.00元，支出决算为28,244.58元，完成年初预算的100.16%，决算数大于年初预算数的主要原因是保险基数调整。</w:t>
      </w:r>
    </w:p>
    <w:p>
      <w:pPr>
        <w:numPr>
          <w:ilvl w:val="0"/>
          <w:numId w:val="1"/>
        </w:num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卫生健康支出（类）行政事业单位医疗（款）其他行政事业单位医疗支出（项）年初预算为21,700.00元，支出决算为12,785.42元，完成年初预算的58.92%，决算数小于年初预算数的主要原因是保险基数调整。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天津市和平区纪检监察综合保障中心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1,104,840.57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21,259.06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新招录一人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1,065,480.87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w:t>
      </w:r>
    </w:p>
    <w:p>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39,359.70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水费、电费、培训费、工会经费、其他商品和服务支出。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天津市和平区纪检监察综合保障中心2023年度无政府性基金预算财政拨款收入、支出和结转结余。</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天津市和平区纪检监察综合保障中心2023年度无国有资本经营预算财政拨款收入、支出和结转结余。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天津市和平区纪检监察综合保障中心</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。主要原因是：</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天津市和平区纪检监察综合保障中心2023年度无机关运行经费。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天津市和平区纪检监察综合保障中心2023年度无政府采购支出。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天津市和平区纪检监察综合保障中心2023年度无国有资产占有使用情况。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根据预算绩效管理要求，天津市和平区纪检监察综合保障中心2023年度已对1个项目开展绩效自评，涉及金额21600.00元，自评结果已随部门决算一并公开。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天津市和平区纪检监察综合保障中心不属于乡、镇、街级单位，不涉及公开2023年度教育、医疗卫生、社会保障和就业、住房保障、涉农补贴等民生支出情况。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35692"/>
    <w:multiLevelType w:val="singleLevel"/>
    <w:tmpl w:val="263356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855CBD"/>
    <w:rsid w:val="0AF018E5"/>
    <w:rsid w:val="0B1428B6"/>
    <w:rsid w:val="0B2716A6"/>
    <w:rsid w:val="0B2E72C7"/>
    <w:rsid w:val="0BE71B32"/>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731260"/>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96062E"/>
    <w:rsid w:val="35B6328D"/>
    <w:rsid w:val="35F44AE6"/>
    <w:rsid w:val="36144696"/>
    <w:rsid w:val="36151043"/>
    <w:rsid w:val="36580FD3"/>
    <w:rsid w:val="37E9025F"/>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157408"/>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9170A0"/>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023226"/>
    <w:rsid w:val="7ACA53E2"/>
    <w:rsid w:val="7B143565"/>
    <w:rsid w:val="7E2E7A36"/>
    <w:rsid w:val="7E703A39"/>
    <w:rsid w:val="7EA009A7"/>
    <w:rsid w:val="7F3217A8"/>
    <w:rsid w:val="7FDD7966"/>
    <w:rsid w:val="FE7F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28</TotalTime>
  <ScaleCrop>false</ScaleCrop>
  <LinksUpToDate>false</LinksUpToDate>
  <CharactersWithSpaces>5662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赵晴</cp:lastModifiedBy>
  <dcterms:modified xsi:type="dcterms:W3CDTF">2024-09-18T16:29:05Z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A44E0A178634409BBBA50D5636087390_13</vt:lpwstr>
  </property>
</Properties>
</file>